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Ansi="宋体"/>
          <w:b/>
          <w:spacing w:val="21"/>
          <w:kern w:val="0"/>
          <w:sz w:val="32"/>
        </w:rPr>
      </w:pPr>
      <w:bookmarkStart w:id="0" w:name="_Toc200359238"/>
      <w:bookmarkStart w:id="1" w:name="_Toc99792200"/>
      <w:bookmarkStart w:id="2" w:name="_Toc98238846"/>
      <w:bookmarkStart w:id="3" w:name="_Toc322559581"/>
      <w:bookmarkStart w:id="4" w:name="_Toc200359427"/>
      <w:bookmarkStart w:id="5" w:name="_Toc101155884"/>
      <w:bookmarkStart w:id="6" w:name="_Toc101155681"/>
      <w:bookmarkStart w:id="7" w:name="_Toc100123407"/>
      <w:bookmarkStart w:id="8" w:name="_Toc98239310"/>
      <w:r>
        <w:rPr>
          <w:rFonts w:hint="eastAsia" w:hAnsi="宋体"/>
          <w:b/>
          <w:spacing w:val="21"/>
          <w:kern w:val="0"/>
          <w:sz w:val="32"/>
        </w:rPr>
        <w:t xml:space="preserve"> </w:t>
      </w:r>
    </w:p>
    <w:p>
      <w:pPr>
        <w:jc w:val="center"/>
        <w:rPr>
          <w:rFonts w:ascii="宋体" w:hAnsi="宋体" w:cs="宋体"/>
          <w:b/>
          <w:bCs/>
          <w:sz w:val="32"/>
          <w:szCs w:val="32"/>
          <w:lang w:val="zh-CN"/>
        </w:rPr>
      </w:pPr>
      <w:r>
        <w:rPr>
          <w:rFonts w:hint="eastAsia" w:ascii="宋体" w:hAnsi="宋体" w:cs="宋体"/>
          <w:b/>
          <w:bCs/>
          <w:sz w:val="32"/>
          <w:szCs w:val="32"/>
          <w:lang w:val="zh-CN"/>
        </w:rPr>
        <w:t>工人新村新建停车场工程施工比选</w:t>
      </w:r>
    </w:p>
    <w:p>
      <w:pPr>
        <w:tabs>
          <w:tab w:val="left" w:pos="1695"/>
          <w:tab w:val="left" w:pos="3370"/>
          <w:tab w:val="left" w:pos="5555"/>
        </w:tabs>
        <w:autoSpaceDE w:val="0"/>
        <w:autoSpaceDN w:val="0"/>
        <w:adjustRightInd w:val="0"/>
        <w:snapToGrid w:val="0"/>
        <w:spacing w:line="360" w:lineRule="auto"/>
        <w:jc w:val="center"/>
        <w:rPr>
          <w:rFonts w:ascii="宋体" w:hAnsi="宋体" w:cs="MingLiU"/>
          <w:kern w:val="0"/>
          <w:sz w:val="20"/>
        </w:rPr>
      </w:pPr>
    </w:p>
    <w:p>
      <w:pPr>
        <w:tabs>
          <w:tab w:val="left" w:pos="1695"/>
          <w:tab w:val="left" w:pos="3370"/>
          <w:tab w:val="left" w:pos="5555"/>
        </w:tabs>
        <w:autoSpaceDE w:val="0"/>
        <w:autoSpaceDN w:val="0"/>
        <w:adjustRightInd w:val="0"/>
        <w:snapToGrid w:val="0"/>
        <w:spacing w:line="360" w:lineRule="auto"/>
        <w:jc w:val="center"/>
        <w:rPr>
          <w:rFonts w:ascii="宋体" w:hAnsi="宋体" w:cs="MingLiU"/>
          <w:kern w:val="0"/>
          <w:sz w:val="20"/>
        </w:rPr>
      </w:pPr>
    </w:p>
    <w:p>
      <w:pPr>
        <w:tabs>
          <w:tab w:val="left" w:pos="1695"/>
          <w:tab w:val="left" w:pos="3370"/>
          <w:tab w:val="left" w:pos="5555"/>
        </w:tabs>
        <w:autoSpaceDE w:val="0"/>
        <w:autoSpaceDN w:val="0"/>
        <w:adjustRightInd w:val="0"/>
        <w:snapToGrid w:val="0"/>
        <w:spacing w:line="360" w:lineRule="auto"/>
        <w:jc w:val="center"/>
        <w:rPr>
          <w:rFonts w:ascii="宋体" w:hAnsi="宋体" w:cs="MingLiU"/>
          <w:kern w:val="0"/>
          <w:sz w:val="20"/>
        </w:rPr>
      </w:pPr>
    </w:p>
    <w:p>
      <w:pPr>
        <w:tabs>
          <w:tab w:val="left" w:pos="1695"/>
          <w:tab w:val="left" w:pos="3370"/>
          <w:tab w:val="left" w:pos="5555"/>
        </w:tabs>
        <w:autoSpaceDE w:val="0"/>
        <w:autoSpaceDN w:val="0"/>
        <w:adjustRightInd w:val="0"/>
        <w:snapToGrid w:val="0"/>
        <w:spacing w:line="360" w:lineRule="auto"/>
        <w:jc w:val="center"/>
        <w:rPr>
          <w:rFonts w:ascii="宋体" w:hAnsi="宋体" w:cs="MingLiU"/>
          <w:kern w:val="0"/>
          <w:sz w:val="20"/>
        </w:rPr>
      </w:pPr>
    </w:p>
    <w:p>
      <w:pPr>
        <w:tabs>
          <w:tab w:val="left" w:pos="1695"/>
          <w:tab w:val="left" w:pos="3370"/>
          <w:tab w:val="left" w:pos="5555"/>
        </w:tabs>
        <w:autoSpaceDE w:val="0"/>
        <w:autoSpaceDN w:val="0"/>
        <w:adjustRightInd w:val="0"/>
        <w:snapToGrid w:val="0"/>
        <w:spacing w:line="360" w:lineRule="auto"/>
        <w:jc w:val="center"/>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pacing w:line="360" w:lineRule="auto"/>
        <w:jc w:val="center"/>
        <w:rPr>
          <w:rFonts w:ascii="宋体" w:hAnsi="宋体" w:cs="MingLiU"/>
          <w:b/>
          <w:kern w:val="0"/>
          <w:sz w:val="30"/>
          <w:szCs w:val="30"/>
        </w:rPr>
      </w:pPr>
      <w:r>
        <w:rPr>
          <w:rFonts w:hint="eastAsia" w:ascii="宋体" w:hAnsi="宋体" w:cs="MingLiU"/>
          <w:b/>
          <w:kern w:val="0"/>
          <w:sz w:val="84"/>
          <w:szCs w:val="44"/>
        </w:rPr>
        <w:t>竞争性比选文件</w:t>
      </w:r>
    </w:p>
    <w:p>
      <w:pPr>
        <w:autoSpaceDE w:val="0"/>
        <w:autoSpaceDN w:val="0"/>
        <w:adjustRightInd w:val="0"/>
        <w:snapToGrid w:val="0"/>
        <w:spacing w:line="360" w:lineRule="auto"/>
        <w:jc w:val="center"/>
        <w:rPr>
          <w:rFonts w:ascii="宋体" w:hAnsi="宋体" w:cs="MingLiU"/>
          <w:b/>
          <w:kern w:val="0"/>
          <w:sz w:val="30"/>
          <w:szCs w:val="30"/>
        </w:rPr>
      </w:pPr>
    </w:p>
    <w:p>
      <w:pPr>
        <w:autoSpaceDE w:val="0"/>
        <w:autoSpaceDN w:val="0"/>
        <w:adjustRightInd w:val="0"/>
        <w:snapToGrid w:val="0"/>
        <w:spacing w:line="360" w:lineRule="auto"/>
        <w:jc w:val="center"/>
        <w:rPr>
          <w:rFonts w:ascii="宋体" w:hAnsi="宋体" w:cs="MingLiU"/>
          <w:b/>
          <w:kern w:val="0"/>
          <w:sz w:val="30"/>
          <w:szCs w:val="30"/>
        </w:rPr>
      </w:pPr>
    </w:p>
    <w:p>
      <w:pPr>
        <w:autoSpaceDE w:val="0"/>
        <w:autoSpaceDN w:val="0"/>
        <w:adjustRightInd w:val="0"/>
        <w:snapToGrid w:val="0"/>
        <w:spacing w:line="360" w:lineRule="auto"/>
        <w:jc w:val="center"/>
        <w:rPr>
          <w:rFonts w:ascii="宋体" w:hAnsi="宋体" w:cs="MingLiU"/>
          <w:b/>
          <w:kern w:val="0"/>
          <w:sz w:val="30"/>
          <w:szCs w:val="30"/>
        </w:rPr>
      </w:pPr>
    </w:p>
    <w:p>
      <w:pPr>
        <w:autoSpaceDE w:val="0"/>
        <w:autoSpaceDN w:val="0"/>
        <w:adjustRightInd w:val="0"/>
        <w:snapToGrid w:val="0"/>
        <w:spacing w:line="360" w:lineRule="auto"/>
        <w:jc w:val="left"/>
        <w:rPr>
          <w:rFonts w:ascii="宋体" w:hAnsi="宋体" w:cs="MingLiU"/>
          <w:kern w:val="0"/>
          <w:sz w:val="20"/>
        </w:rPr>
      </w:pPr>
    </w:p>
    <w:p>
      <w:pPr>
        <w:tabs>
          <w:tab w:val="left" w:pos="6219"/>
        </w:tabs>
        <w:autoSpaceDE w:val="0"/>
        <w:autoSpaceDN w:val="0"/>
        <w:adjustRightInd w:val="0"/>
        <w:snapToGrid w:val="0"/>
        <w:spacing w:before="120" w:beforeLines="50" w:line="360" w:lineRule="auto"/>
        <w:ind w:firstLine="289" w:firstLineChars="100"/>
        <w:rPr>
          <w:rFonts w:ascii="宋体" w:hAnsi="宋体"/>
          <w:b/>
          <w:spacing w:val="-16"/>
          <w:sz w:val="32"/>
          <w:szCs w:val="32"/>
          <w:u w:val="single"/>
        </w:rPr>
      </w:pPr>
      <w:r>
        <w:rPr>
          <w:rFonts w:hint="eastAsia" w:ascii="宋体" w:hAnsi="宋体"/>
          <w:b/>
          <w:spacing w:val="-16"/>
          <w:sz w:val="32"/>
          <w:szCs w:val="32"/>
        </w:rPr>
        <w:t>比选人：</w:t>
      </w:r>
      <w:r>
        <w:rPr>
          <w:rFonts w:hint="eastAsia" w:ascii="宋体" w:hAnsi="宋体"/>
          <w:b/>
          <w:spacing w:val="-16"/>
          <w:sz w:val="32"/>
          <w:szCs w:val="32"/>
          <w:u w:val="single"/>
        </w:rPr>
        <w:t>重庆铜梁高新技术产业开发区管委会（盖单位章）</w:t>
      </w:r>
    </w:p>
    <w:p>
      <w:pPr>
        <w:tabs>
          <w:tab w:val="left" w:pos="6219"/>
        </w:tabs>
        <w:autoSpaceDE w:val="0"/>
        <w:autoSpaceDN w:val="0"/>
        <w:adjustRightInd w:val="0"/>
        <w:snapToGrid w:val="0"/>
        <w:spacing w:before="120" w:beforeLines="50" w:line="360" w:lineRule="auto"/>
        <w:rPr>
          <w:rFonts w:ascii="宋体" w:hAnsi="宋体"/>
          <w:b/>
          <w:spacing w:val="-16"/>
          <w:sz w:val="32"/>
          <w:szCs w:val="32"/>
          <w:u w:val="single"/>
        </w:rPr>
      </w:pPr>
      <w:r>
        <w:rPr>
          <w:rFonts w:hint="eastAsia" w:ascii="宋体" w:hAnsi="宋体"/>
          <w:b/>
          <w:spacing w:val="-16"/>
          <w:sz w:val="32"/>
          <w:szCs w:val="32"/>
        </w:rPr>
        <w:t xml:space="preserve">  比选代理机构：</w:t>
      </w:r>
      <w:r>
        <w:rPr>
          <w:rFonts w:hint="eastAsia" w:ascii="宋体" w:hAnsi="宋体"/>
          <w:b/>
          <w:spacing w:val="-16"/>
          <w:sz w:val="32"/>
          <w:szCs w:val="32"/>
          <w:u w:val="single"/>
          <w:lang w:eastAsia="zh-CN"/>
        </w:rPr>
        <w:t>凌辉建设工程咨询有限公司</w:t>
      </w:r>
      <w:r>
        <w:rPr>
          <w:rFonts w:hint="eastAsia" w:ascii="宋体" w:hAnsi="宋体"/>
          <w:b/>
          <w:spacing w:val="-16"/>
          <w:sz w:val="32"/>
          <w:szCs w:val="32"/>
          <w:u w:val="single"/>
        </w:rPr>
        <w:t xml:space="preserve"> （盖单位章）</w:t>
      </w:r>
    </w:p>
    <w:p>
      <w:pPr>
        <w:autoSpaceDE w:val="0"/>
        <w:autoSpaceDN w:val="0"/>
        <w:adjustRightInd w:val="0"/>
        <w:snapToGrid w:val="0"/>
        <w:spacing w:before="50" w:line="360" w:lineRule="auto"/>
        <w:jc w:val="center"/>
        <w:rPr>
          <w:rFonts w:ascii="宋体" w:hAnsi="宋体" w:cs="MingLiU"/>
          <w:b/>
          <w:kern w:val="0"/>
          <w:sz w:val="20"/>
        </w:rPr>
      </w:pPr>
    </w:p>
    <w:p>
      <w:pPr>
        <w:autoSpaceDE w:val="0"/>
        <w:autoSpaceDN w:val="0"/>
        <w:adjustRightInd w:val="0"/>
        <w:snapToGrid w:val="0"/>
        <w:spacing w:line="800" w:lineRule="exact"/>
        <w:rPr>
          <w:rFonts w:ascii="宋体" w:hAnsi="宋体" w:cs="MingLiU"/>
          <w:b/>
          <w:kern w:val="0"/>
          <w:sz w:val="28"/>
          <w:szCs w:val="28"/>
        </w:rPr>
      </w:pPr>
    </w:p>
    <w:p>
      <w:pPr>
        <w:spacing w:line="360" w:lineRule="auto"/>
        <w:ind w:firstLine="635" w:firstLineChars="200"/>
        <w:rPr>
          <w:rFonts w:ascii="宋体" w:hAnsi="宋体" w:cs="MingLiU"/>
          <w:b/>
          <w:w w:val="99"/>
          <w:kern w:val="0"/>
          <w:sz w:val="32"/>
          <w:szCs w:val="32"/>
        </w:rPr>
      </w:pPr>
    </w:p>
    <w:p>
      <w:pPr>
        <w:spacing w:line="360" w:lineRule="auto"/>
        <w:ind w:firstLine="635" w:firstLineChars="200"/>
        <w:rPr>
          <w:rFonts w:ascii="宋体" w:hAnsi="宋体" w:cs="MingLiU"/>
          <w:b/>
          <w:w w:val="99"/>
          <w:kern w:val="0"/>
          <w:sz w:val="32"/>
          <w:szCs w:val="32"/>
        </w:rPr>
      </w:pPr>
    </w:p>
    <w:p>
      <w:pPr>
        <w:tabs>
          <w:tab w:val="left" w:pos="3000"/>
          <w:tab w:val="left" w:pos="3280"/>
          <w:tab w:val="left" w:pos="6120"/>
          <w:tab w:val="left" w:pos="7540"/>
          <w:tab w:val="left" w:pos="8320"/>
        </w:tabs>
        <w:autoSpaceDE w:val="0"/>
        <w:autoSpaceDN w:val="0"/>
        <w:adjustRightInd w:val="0"/>
        <w:snapToGrid w:val="0"/>
        <w:spacing w:line="360" w:lineRule="auto"/>
        <w:ind w:firstLine="420"/>
        <w:jc w:val="center"/>
        <w:outlineLvl w:val="0"/>
        <w:rPr>
          <w:rFonts w:ascii="宋体" w:cs="仿宋"/>
        </w:rPr>
      </w:pPr>
      <w:r>
        <w:rPr>
          <w:rFonts w:hint="eastAsia" w:ascii="宋体" w:hAnsi="宋体" w:cs="MingLiU"/>
          <w:b/>
          <w:kern w:val="0"/>
          <w:sz w:val="32"/>
          <w:szCs w:val="32"/>
        </w:rPr>
        <w:t xml:space="preserve">    二0二一年</w:t>
      </w:r>
      <w:r>
        <w:rPr>
          <w:rFonts w:hint="eastAsia" w:ascii="宋体" w:hAnsi="宋体" w:cs="MingLiU"/>
          <w:b/>
          <w:kern w:val="0"/>
          <w:sz w:val="32"/>
          <w:szCs w:val="32"/>
          <w:lang w:eastAsia="zh-CN"/>
        </w:rPr>
        <w:t>四</w:t>
      </w:r>
      <w:r>
        <w:rPr>
          <w:rFonts w:hint="eastAsia" w:ascii="宋体" w:hAnsi="宋体" w:cs="MingLiU"/>
          <w:b/>
          <w:kern w:val="0"/>
          <w:sz w:val="32"/>
          <w:szCs w:val="32"/>
        </w:rPr>
        <w:t>月</w:t>
      </w:r>
      <w:r>
        <w:rPr>
          <w:b/>
          <w:kern w:val="0"/>
          <w:sz w:val="30"/>
          <w:szCs w:val="30"/>
        </w:rPr>
        <w:br w:type="page"/>
      </w:r>
      <w:r>
        <w:rPr>
          <w:rFonts w:hint="eastAsia" w:ascii="宋体" w:hAnsi="宋体" w:cs="仿宋"/>
          <w:b/>
          <w:sz w:val="32"/>
        </w:rPr>
        <w:t>目</w:t>
      </w:r>
      <w:r>
        <w:rPr>
          <w:rFonts w:ascii="宋体" w:hAnsi="宋体" w:cs="仿宋"/>
          <w:b/>
          <w:sz w:val="32"/>
        </w:rPr>
        <w:t xml:space="preserve">  </w:t>
      </w:r>
      <w:r>
        <w:rPr>
          <w:rFonts w:hint="eastAsia" w:ascii="宋体" w:hAnsi="宋体" w:cs="仿宋"/>
          <w:b/>
          <w:sz w:val="32"/>
        </w:rPr>
        <w:t>录</w:t>
      </w:r>
      <w:r>
        <w:rPr>
          <w:rFonts w:ascii="宋体" w:hAnsi="宋体" w:cs="仿宋"/>
        </w:rPr>
        <w:t xml:space="preserve"> </w:t>
      </w:r>
    </w:p>
    <w:p>
      <w:pPr>
        <w:pStyle w:val="33"/>
        <w:tabs>
          <w:tab w:val="right" w:leader="dot" w:pos="9525"/>
          <w:tab w:val="clear" w:pos="8296"/>
        </w:tabs>
        <w:spacing w:line="360" w:lineRule="auto"/>
        <w:rPr>
          <w:sz w:val="28"/>
          <w:szCs w:val="28"/>
        </w:rPr>
      </w:pPr>
      <w:r>
        <w:rPr>
          <w:rFonts w:hAnsi="宋体" w:cs="仿宋"/>
          <w:sz w:val="28"/>
          <w:szCs w:val="28"/>
        </w:rPr>
        <w:fldChar w:fldCharType="begin"/>
      </w:r>
      <w:r>
        <w:rPr>
          <w:rFonts w:hAnsi="宋体" w:cs="仿宋"/>
          <w:sz w:val="28"/>
          <w:szCs w:val="28"/>
        </w:rPr>
        <w:instrText xml:space="preserve"> TOC \o "1-3" \h \z \u </w:instrText>
      </w:r>
      <w:r>
        <w:rPr>
          <w:rFonts w:hAnsi="宋体" w:cs="仿宋"/>
          <w:sz w:val="28"/>
          <w:szCs w:val="28"/>
        </w:rPr>
        <w:fldChar w:fldCharType="separate"/>
      </w:r>
    </w:p>
    <w:p>
      <w:pPr>
        <w:pStyle w:val="33"/>
        <w:tabs>
          <w:tab w:val="right" w:leader="dot" w:pos="9525"/>
          <w:tab w:val="clear" w:pos="8296"/>
        </w:tabs>
        <w:spacing w:line="360" w:lineRule="auto"/>
        <w:rPr>
          <w:sz w:val="28"/>
          <w:szCs w:val="28"/>
        </w:rPr>
      </w:pPr>
      <w:r>
        <w:rPr>
          <w:rFonts w:hAnsi="宋体" w:cs="仿宋"/>
          <w:sz w:val="28"/>
          <w:szCs w:val="28"/>
        </w:rPr>
        <w:fldChar w:fldCharType="end"/>
      </w:r>
      <w:r>
        <w:fldChar w:fldCharType="begin"/>
      </w:r>
      <w:r>
        <w:instrText xml:space="preserve"> HYPERLINK \l "_Toc460945886" </w:instrText>
      </w:r>
      <w:r>
        <w:fldChar w:fldCharType="separate"/>
      </w:r>
      <w:r>
        <w:rPr>
          <w:sz w:val="28"/>
          <w:szCs w:val="28"/>
        </w:rPr>
        <w:t>第一章  竞争性比选公告</w:t>
      </w:r>
      <w:r>
        <w:rPr>
          <w:sz w:val="28"/>
          <w:szCs w:val="28"/>
        </w:rPr>
        <w:tab/>
      </w:r>
      <w:r>
        <w:rPr>
          <w:rFonts w:hint="eastAsia"/>
          <w:sz w:val="28"/>
          <w:szCs w:val="28"/>
        </w:rPr>
        <w:t>3</w:t>
      </w:r>
      <w:r>
        <w:rPr>
          <w:rFonts w:hint="eastAsia"/>
          <w:sz w:val="28"/>
          <w:szCs w:val="28"/>
        </w:rPr>
        <w:fldChar w:fldCharType="end"/>
      </w:r>
      <w:r>
        <w:rPr>
          <w:rFonts w:hint="eastAsia"/>
          <w:sz w:val="28"/>
          <w:szCs w:val="28"/>
        </w:rPr>
        <w:t>-4</w:t>
      </w:r>
    </w:p>
    <w:p>
      <w:pPr>
        <w:pStyle w:val="33"/>
        <w:tabs>
          <w:tab w:val="right" w:leader="dot" w:pos="9525"/>
          <w:tab w:val="clear" w:pos="8296"/>
        </w:tabs>
        <w:spacing w:line="360" w:lineRule="auto"/>
        <w:rPr>
          <w:sz w:val="28"/>
          <w:szCs w:val="28"/>
        </w:rPr>
      </w:pPr>
      <w:r>
        <w:fldChar w:fldCharType="begin"/>
      </w:r>
      <w:r>
        <w:instrText xml:space="preserve"> HYPERLINK \l "_Toc460945887" </w:instrText>
      </w:r>
      <w:r>
        <w:fldChar w:fldCharType="separate"/>
      </w:r>
      <w:r>
        <w:rPr>
          <w:sz w:val="28"/>
          <w:szCs w:val="28"/>
        </w:rPr>
        <w:t xml:space="preserve">第二章 </w:t>
      </w:r>
      <w:r>
        <w:rPr>
          <w:rFonts w:hint="eastAsia"/>
          <w:sz w:val="28"/>
          <w:szCs w:val="28"/>
        </w:rPr>
        <w:t xml:space="preserve"> </w:t>
      </w:r>
      <w:r>
        <w:rPr>
          <w:sz w:val="28"/>
          <w:szCs w:val="28"/>
        </w:rPr>
        <w:t>投标人须知</w:t>
      </w:r>
      <w:r>
        <w:rPr>
          <w:sz w:val="28"/>
          <w:szCs w:val="28"/>
        </w:rPr>
        <w:tab/>
      </w:r>
      <w:r>
        <w:rPr>
          <w:rFonts w:hint="eastAsia"/>
          <w:sz w:val="28"/>
          <w:szCs w:val="28"/>
        </w:rPr>
        <w:t>5-</w:t>
      </w:r>
      <w:r>
        <w:rPr>
          <w:rFonts w:hint="eastAsia"/>
          <w:sz w:val="28"/>
          <w:szCs w:val="28"/>
        </w:rPr>
        <w:fldChar w:fldCharType="end"/>
      </w:r>
      <w:r>
        <w:rPr>
          <w:rFonts w:hint="eastAsia"/>
          <w:sz w:val="28"/>
          <w:szCs w:val="28"/>
        </w:rPr>
        <w:t>21</w:t>
      </w:r>
    </w:p>
    <w:p>
      <w:pPr>
        <w:pStyle w:val="33"/>
        <w:tabs>
          <w:tab w:val="right" w:leader="dot" w:pos="9525"/>
          <w:tab w:val="clear" w:pos="8296"/>
        </w:tabs>
        <w:spacing w:line="360" w:lineRule="auto"/>
        <w:rPr>
          <w:sz w:val="28"/>
          <w:szCs w:val="28"/>
        </w:rPr>
      </w:pPr>
      <w:r>
        <w:fldChar w:fldCharType="begin"/>
      </w:r>
      <w:r>
        <w:instrText xml:space="preserve"> HYPERLINK \l "_Toc460945888" </w:instrText>
      </w:r>
      <w:r>
        <w:fldChar w:fldCharType="separate"/>
      </w:r>
      <w:r>
        <w:rPr>
          <w:sz w:val="28"/>
          <w:szCs w:val="28"/>
        </w:rPr>
        <w:t xml:space="preserve">第三章 </w:t>
      </w:r>
      <w:r>
        <w:rPr>
          <w:rFonts w:hint="eastAsia"/>
          <w:sz w:val="28"/>
          <w:szCs w:val="28"/>
        </w:rPr>
        <w:t xml:space="preserve"> </w:t>
      </w:r>
      <w:r>
        <w:rPr>
          <w:sz w:val="28"/>
          <w:szCs w:val="28"/>
        </w:rPr>
        <w:t>评标办法</w:t>
      </w:r>
      <w:r>
        <w:rPr>
          <w:sz w:val="28"/>
          <w:szCs w:val="28"/>
        </w:rPr>
        <w:tab/>
      </w:r>
      <w:r>
        <w:rPr>
          <w:rFonts w:hint="eastAsia"/>
          <w:sz w:val="28"/>
          <w:szCs w:val="28"/>
        </w:rPr>
        <w:t>22</w:t>
      </w:r>
      <w:r>
        <w:rPr>
          <w:rFonts w:hint="eastAsia"/>
          <w:sz w:val="28"/>
          <w:szCs w:val="28"/>
        </w:rPr>
        <w:fldChar w:fldCharType="end"/>
      </w:r>
      <w:r>
        <w:rPr>
          <w:rFonts w:hint="eastAsia"/>
          <w:sz w:val="28"/>
          <w:szCs w:val="28"/>
        </w:rPr>
        <w:t>-27</w:t>
      </w:r>
    </w:p>
    <w:p>
      <w:pPr>
        <w:pStyle w:val="33"/>
        <w:tabs>
          <w:tab w:val="right" w:leader="dot" w:pos="9525"/>
          <w:tab w:val="clear" w:pos="8296"/>
        </w:tabs>
        <w:spacing w:line="360" w:lineRule="auto"/>
        <w:rPr>
          <w:sz w:val="28"/>
          <w:szCs w:val="28"/>
        </w:rPr>
      </w:pPr>
      <w:r>
        <w:fldChar w:fldCharType="begin"/>
      </w:r>
      <w:r>
        <w:instrText xml:space="preserve"> HYPERLINK \l "_Toc460945895" </w:instrText>
      </w:r>
      <w:r>
        <w:fldChar w:fldCharType="separate"/>
      </w:r>
      <w:r>
        <w:rPr>
          <w:sz w:val="28"/>
          <w:szCs w:val="28"/>
        </w:rPr>
        <w:t xml:space="preserve">第四章 </w:t>
      </w:r>
      <w:r>
        <w:rPr>
          <w:rFonts w:hint="eastAsia"/>
          <w:sz w:val="28"/>
          <w:szCs w:val="28"/>
        </w:rPr>
        <w:t xml:space="preserve"> </w:t>
      </w:r>
      <w:r>
        <w:rPr>
          <w:sz w:val="28"/>
          <w:szCs w:val="28"/>
        </w:rPr>
        <w:t>合同条款及格式</w:t>
      </w:r>
      <w:r>
        <w:rPr>
          <w:sz w:val="28"/>
          <w:szCs w:val="28"/>
        </w:rPr>
        <w:tab/>
      </w:r>
      <w:r>
        <w:rPr>
          <w:sz w:val="28"/>
          <w:szCs w:val="28"/>
        </w:rPr>
        <w:fldChar w:fldCharType="end"/>
      </w:r>
      <w:r>
        <w:rPr>
          <w:rFonts w:hint="eastAsia"/>
          <w:sz w:val="28"/>
          <w:szCs w:val="28"/>
        </w:rPr>
        <w:t>28-86</w:t>
      </w:r>
    </w:p>
    <w:p>
      <w:pPr>
        <w:pStyle w:val="33"/>
        <w:tabs>
          <w:tab w:val="right" w:leader="dot" w:pos="9525"/>
          <w:tab w:val="clear" w:pos="8296"/>
        </w:tabs>
        <w:spacing w:line="360" w:lineRule="auto"/>
        <w:rPr>
          <w:sz w:val="28"/>
          <w:szCs w:val="28"/>
        </w:rPr>
      </w:pPr>
      <w:r>
        <w:fldChar w:fldCharType="begin"/>
      </w:r>
      <w:r>
        <w:instrText xml:space="preserve"> HYPERLINK \l "_Toc460945896" </w:instrText>
      </w:r>
      <w:r>
        <w:fldChar w:fldCharType="separate"/>
      </w:r>
      <w:r>
        <w:rPr>
          <w:sz w:val="28"/>
          <w:szCs w:val="28"/>
        </w:rPr>
        <w:t>第五章  工程量清单</w:t>
      </w:r>
      <w:r>
        <w:rPr>
          <w:sz w:val="28"/>
          <w:szCs w:val="28"/>
        </w:rPr>
        <w:tab/>
      </w:r>
      <w:r>
        <w:rPr>
          <w:sz w:val="28"/>
          <w:szCs w:val="28"/>
        </w:rPr>
        <w:fldChar w:fldCharType="end"/>
      </w:r>
      <w:r>
        <w:rPr>
          <w:rFonts w:hint="eastAsia"/>
          <w:sz w:val="28"/>
          <w:szCs w:val="28"/>
        </w:rPr>
        <w:t>87</w:t>
      </w:r>
    </w:p>
    <w:p>
      <w:pPr>
        <w:pStyle w:val="33"/>
        <w:tabs>
          <w:tab w:val="right" w:leader="dot" w:pos="9525"/>
          <w:tab w:val="clear" w:pos="8296"/>
        </w:tabs>
        <w:spacing w:line="360" w:lineRule="auto"/>
        <w:rPr>
          <w:sz w:val="28"/>
          <w:szCs w:val="28"/>
        </w:rPr>
      </w:pPr>
      <w:r>
        <w:fldChar w:fldCharType="begin"/>
      </w:r>
      <w:r>
        <w:instrText xml:space="preserve"> HYPERLINK \l "_Toc460945900" </w:instrText>
      </w:r>
      <w:r>
        <w:fldChar w:fldCharType="separate"/>
      </w:r>
      <w:r>
        <w:rPr>
          <w:sz w:val="28"/>
          <w:szCs w:val="28"/>
        </w:rPr>
        <w:t>第</w:t>
      </w:r>
      <w:r>
        <w:rPr>
          <w:rFonts w:hint="eastAsia"/>
          <w:sz w:val="28"/>
          <w:szCs w:val="28"/>
        </w:rPr>
        <w:t>六</w:t>
      </w:r>
      <w:r>
        <w:rPr>
          <w:sz w:val="28"/>
          <w:szCs w:val="28"/>
        </w:rPr>
        <w:t xml:space="preserve">章  </w:t>
      </w:r>
      <w:r>
        <w:rPr>
          <w:rFonts w:hint="eastAsia"/>
          <w:sz w:val="28"/>
          <w:szCs w:val="28"/>
        </w:rPr>
        <w:t>图纸</w:t>
      </w:r>
      <w:r>
        <w:rPr>
          <w:sz w:val="28"/>
          <w:szCs w:val="28"/>
        </w:rPr>
        <w:tab/>
      </w:r>
      <w:r>
        <w:rPr>
          <w:sz w:val="28"/>
          <w:szCs w:val="28"/>
        </w:rPr>
        <w:fldChar w:fldCharType="end"/>
      </w:r>
      <w:r>
        <w:rPr>
          <w:rFonts w:hint="eastAsia"/>
          <w:sz w:val="28"/>
          <w:szCs w:val="28"/>
        </w:rPr>
        <w:t>88</w:t>
      </w:r>
    </w:p>
    <w:p>
      <w:pPr>
        <w:pStyle w:val="33"/>
        <w:tabs>
          <w:tab w:val="right" w:leader="dot" w:pos="9525"/>
          <w:tab w:val="clear" w:pos="8296"/>
        </w:tabs>
        <w:spacing w:line="360" w:lineRule="auto"/>
        <w:rPr>
          <w:sz w:val="28"/>
          <w:szCs w:val="28"/>
        </w:rPr>
      </w:pPr>
      <w:r>
        <w:fldChar w:fldCharType="begin"/>
      </w:r>
      <w:r>
        <w:instrText xml:space="preserve"> HYPERLINK \l "_Toc460945901" </w:instrText>
      </w:r>
      <w:r>
        <w:fldChar w:fldCharType="separate"/>
      </w:r>
      <w:r>
        <w:rPr>
          <w:sz w:val="28"/>
          <w:szCs w:val="28"/>
        </w:rPr>
        <w:t>第</w:t>
      </w:r>
      <w:r>
        <w:rPr>
          <w:rFonts w:hint="eastAsia"/>
          <w:sz w:val="28"/>
          <w:szCs w:val="28"/>
        </w:rPr>
        <w:t>七</w:t>
      </w:r>
      <w:r>
        <w:rPr>
          <w:sz w:val="28"/>
          <w:szCs w:val="28"/>
        </w:rPr>
        <w:t xml:space="preserve">章 </w:t>
      </w:r>
      <w:r>
        <w:rPr>
          <w:rFonts w:hint="eastAsia"/>
          <w:sz w:val="28"/>
          <w:szCs w:val="28"/>
        </w:rPr>
        <w:t xml:space="preserve"> 技术标准和要求</w:t>
      </w:r>
      <w:r>
        <w:rPr>
          <w:sz w:val="28"/>
          <w:szCs w:val="28"/>
        </w:rPr>
        <w:tab/>
      </w:r>
      <w:r>
        <w:rPr>
          <w:sz w:val="28"/>
          <w:szCs w:val="28"/>
        </w:rPr>
        <w:fldChar w:fldCharType="end"/>
      </w:r>
      <w:bookmarkStart w:id="9" w:name="_Toc325910545"/>
      <w:bookmarkStart w:id="10" w:name="_Toc31474"/>
      <w:r>
        <w:rPr>
          <w:rFonts w:hint="eastAsia"/>
          <w:sz w:val="28"/>
          <w:szCs w:val="28"/>
        </w:rPr>
        <w:t>89</w:t>
      </w:r>
    </w:p>
    <w:p>
      <w:pPr>
        <w:pStyle w:val="33"/>
        <w:tabs>
          <w:tab w:val="right" w:leader="dot" w:pos="9525"/>
          <w:tab w:val="clear" w:pos="8296"/>
        </w:tabs>
        <w:spacing w:line="360" w:lineRule="auto"/>
        <w:rPr>
          <w:sz w:val="28"/>
          <w:szCs w:val="28"/>
        </w:rPr>
      </w:pPr>
      <w:r>
        <w:fldChar w:fldCharType="begin"/>
      </w:r>
      <w:r>
        <w:instrText xml:space="preserve"> HYPERLINK \l "_Toc460945901" </w:instrText>
      </w:r>
      <w:r>
        <w:fldChar w:fldCharType="separate"/>
      </w:r>
      <w:r>
        <w:rPr>
          <w:sz w:val="28"/>
          <w:szCs w:val="28"/>
        </w:rPr>
        <w:t>第</w:t>
      </w:r>
      <w:r>
        <w:rPr>
          <w:rFonts w:hint="eastAsia"/>
          <w:sz w:val="28"/>
          <w:szCs w:val="28"/>
        </w:rPr>
        <w:t>八</w:t>
      </w:r>
      <w:r>
        <w:rPr>
          <w:sz w:val="28"/>
          <w:szCs w:val="28"/>
        </w:rPr>
        <w:t xml:space="preserve">章 </w:t>
      </w:r>
      <w:r>
        <w:rPr>
          <w:rFonts w:hint="eastAsia"/>
          <w:sz w:val="28"/>
          <w:szCs w:val="28"/>
        </w:rPr>
        <w:t xml:space="preserve"> </w:t>
      </w:r>
      <w:r>
        <w:rPr>
          <w:sz w:val="28"/>
          <w:szCs w:val="28"/>
        </w:rPr>
        <w:t>投标文件格式</w:t>
      </w:r>
      <w:r>
        <w:rPr>
          <w:sz w:val="28"/>
          <w:szCs w:val="28"/>
        </w:rPr>
        <w:tab/>
      </w:r>
      <w:r>
        <w:rPr>
          <w:rFonts w:hint="eastAsia"/>
          <w:sz w:val="28"/>
          <w:szCs w:val="28"/>
        </w:rPr>
        <w:t>90-</w:t>
      </w:r>
      <w:r>
        <w:rPr>
          <w:rFonts w:hint="eastAsia"/>
          <w:sz w:val="28"/>
          <w:szCs w:val="28"/>
        </w:rPr>
        <w:fldChar w:fldCharType="end"/>
      </w:r>
      <w:r>
        <w:rPr>
          <w:rFonts w:hint="eastAsia"/>
          <w:sz w:val="28"/>
          <w:szCs w:val="28"/>
        </w:rPr>
        <w:t>112</w:t>
      </w: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4"/>
        <w:spacing w:before="0" w:after="0" w:line="360" w:lineRule="auto"/>
        <w:jc w:val="center"/>
        <w:rPr>
          <w:rFonts w:ascii="宋体" w:cs="仿宋"/>
          <w:bCs/>
          <w:kern w:val="0"/>
          <w:sz w:val="36"/>
          <w:szCs w:val="36"/>
        </w:rPr>
      </w:pPr>
      <w:r>
        <w:rPr>
          <w:rFonts w:hint="eastAsia" w:ascii="宋体" w:cs="仿宋"/>
          <w:bCs/>
          <w:kern w:val="0"/>
          <w:sz w:val="36"/>
          <w:szCs w:val="36"/>
        </w:rPr>
        <w:t xml:space="preserve">   第一章</w:t>
      </w:r>
      <w:r>
        <w:rPr>
          <w:rFonts w:ascii="宋体" w:cs="仿宋"/>
          <w:bCs/>
          <w:kern w:val="0"/>
          <w:sz w:val="36"/>
          <w:szCs w:val="36"/>
        </w:rPr>
        <w:t xml:space="preserve">  </w:t>
      </w:r>
      <w:r>
        <w:rPr>
          <w:rFonts w:hint="eastAsia" w:ascii="宋体" w:cs="仿宋"/>
          <w:bCs/>
          <w:kern w:val="0"/>
          <w:sz w:val="36"/>
          <w:szCs w:val="36"/>
        </w:rPr>
        <w:t>竞争性比选公告</w:t>
      </w:r>
      <w:bookmarkEnd w:id="0"/>
      <w:bookmarkEnd w:id="1"/>
      <w:bookmarkEnd w:id="2"/>
      <w:bookmarkEnd w:id="3"/>
      <w:bookmarkEnd w:id="4"/>
      <w:bookmarkEnd w:id="5"/>
      <w:bookmarkEnd w:id="6"/>
      <w:bookmarkEnd w:id="7"/>
      <w:bookmarkEnd w:id="8"/>
      <w:bookmarkEnd w:id="9"/>
      <w:bookmarkEnd w:id="10"/>
      <w:bookmarkStart w:id="11" w:name="_Toc234404423"/>
      <w:bookmarkStart w:id="12" w:name="_Toc11287"/>
      <w:bookmarkStart w:id="13" w:name="_Toc325910547"/>
      <w:bookmarkStart w:id="14" w:name="_Toc270342988"/>
      <w:bookmarkStart w:id="15" w:name="_Toc322559582"/>
      <w:bookmarkStart w:id="16" w:name="_Toc325910554"/>
      <w:bookmarkStart w:id="17" w:name="_Toc298010248"/>
    </w:p>
    <w:p>
      <w:pPr>
        <w:pStyle w:val="5"/>
        <w:spacing w:before="0" w:after="0" w:line="500" w:lineRule="exact"/>
        <w:ind w:firstLine="3092" w:firstLineChars="1100"/>
        <w:jc w:val="left"/>
        <w:rPr>
          <w:rFonts w:ascii="宋体" w:eastAsia="宋体" w:cs="仿宋"/>
          <w:snapToGrid w:val="0"/>
          <w:sz w:val="28"/>
          <w:szCs w:val="28"/>
          <w:lang w:val="zh-CN"/>
        </w:rPr>
      </w:pPr>
      <w:r>
        <w:rPr>
          <w:rFonts w:hint="eastAsia" w:ascii="宋体" w:eastAsia="宋体" w:cs="仿宋"/>
          <w:snapToGrid w:val="0"/>
          <w:sz w:val="28"/>
          <w:szCs w:val="28"/>
          <w:lang w:val="zh-CN"/>
        </w:rPr>
        <w:t>工人新村新建停车场工程</w:t>
      </w:r>
    </w:p>
    <w:p>
      <w:pPr>
        <w:pStyle w:val="5"/>
        <w:spacing w:before="0" w:after="0" w:line="500" w:lineRule="exact"/>
        <w:jc w:val="left"/>
        <w:rPr>
          <w:rFonts w:ascii="宋体" w:eastAsia="宋体" w:cs="仿宋"/>
          <w:snapToGrid w:val="0"/>
          <w:sz w:val="28"/>
          <w:szCs w:val="28"/>
        </w:rPr>
      </w:pPr>
      <w:r>
        <w:rPr>
          <w:rFonts w:ascii="宋体" w:eastAsia="宋体" w:cs="仿宋"/>
          <w:snapToGrid w:val="0"/>
          <w:sz w:val="28"/>
          <w:szCs w:val="28"/>
        </w:rPr>
        <w:t xml:space="preserve">1. </w:t>
      </w:r>
      <w:r>
        <w:rPr>
          <w:rFonts w:hint="eastAsia" w:ascii="宋体" w:eastAsia="宋体" w:cs="仿宋"/>
          <w:snapToGrid w:val="0"/>
          <w:sz w:val="28"/>
          <w:szCs w:val="28"/>
        </w:rPr>
        <w:t>竞争性比选条件</w:t>
      </w:r>
      <w:bookmarkEnd w:id="11"/>
      <w:bookmarkEnd w:id="12"/>
      <w:bookmarkEnd w:id="13"/>
      <w:bookmarkEnd w:id="14"/>
    </w:p>
    <w:p>
      <w:pPr>
        <w:pStyle w:val="25"/>
        <w:spacing w:line="500" w:lineRule="exact"/>
        <w:rPr>
          <w:rFonts w:cs="仿宋"/>
          <w:snapToGrid w:val="0"/>
          <w:kern w:val="0"/>
          <w:szCs w:val="21"/>
        </w:rPr>
      </w:pPr>
      <w:r>
        <w:rPr>
          <w:rFonts w:cs="仿宋"/>
          <w:snapToGrid w:val="0"/>
          <w:kern w:val="0"/>
          <w:szCs w:val="21"/>
        </w:rPr>
        <w:t xml:space="preserve">    </w:t>
      </w:r>
      <w:r>
        <w:rPr>
          <w:sz w:val="24"/>
          <w:szCs w:val="24"/>
        </w:rPr>
        <w:t>本比选项目</w:t>
      </w:r>
      <w:r>
        <w:rPr>
          <w:rFonts w:hint="eastAsia"/>
          <w:sz w:val="24"/>
          <w:szCs w:val="24"/>
          <w:u w:val="single"/>
          <w:lang w:val="zh-CN"/>
        </w:rPr>
        <w:t>工人新村新建停车场工程</w:t>
      </w:r>
      <w:r>
        <w:rPr>
          <w:rFonts w:hAnsi="宋体"/>
          <w:snapToGrid w:val="0"/>
          <w:kern w:val="0"/>
          <w:sz w:val="24"/>
          <w:szCs w:val="24"/>
        </w:rPr>
        <w:t>已由</w:t>
      </w:r>
      <w:r>
        <w:rPr>
          <w:rFonts w:hint="eastAsia" w:hAnsi="宋体"/>
          <w:snapToGrid w:val="0"/>
          <w:kern w:val="0"/>
          <w:sz w:val="24"/>
          <w:szCs w:val="24"/>
          <w:u w:val="single"/>
        </w:rPr>
        <w:t>重庆市铜梁区发展和改革委员会</w:t>
      </w:r>
      <w:r>
        <w:rPr>
          <w:rFonts w:hAnsi="宋体"/>
          <w:snapToGrid w:val="0"/>
          <w:kern w:val="0"/>
          <w:sz w:val="24"/>
          <w:szCs w:val="24"/>
        </w:rPr>
        <w:t>以</w:t>
      </w:r>
      <w:r>
        <w:rPr>
          <w:rFonts w:hint="eastAsia" w:hAnsi="宋体"/>
          <w:snapToGrid w:val="0"/>
          <w:kern w:val="0"/>
          <w:sz w:val="24"/>
          <w:szCs w:val="24"/>
          <w:u w:val="single"/>
        </w:rPr>
        <w:t>铜发改委审铜发改委审〔2021〕23号文件</w:t>
      </w:r>
      <w:r>
        <w:rPr>
          <w:rFonts w:hAnsi="宋体"/>
          <w:snapToGrid w:val="0"/>
          <w:kern w:val="0"/>
          <w:sz w:val="24"/>
          <w:szCs w:val="24"/>
        </w:rPr>
        <w:t>批准建设</w:t>
      </w:r>
      <w:r>
        <w:rPr>
          <w:rFonts w:hint="eastAsia" w:hAnsi="宋体" w:cs="MingLiU"/>
          <w:snapToGrid w:val="0"/>
          <w:kern w:val="0"/>
          <w:sz w:val="24"/>
          <w:szCs w:val="24"/>
        </w:rPr>
        <w:t>，</w:t>
      </w:r>
      <w:r>
        <w:rPr>
          <w:sz w:val="24"/>
          <w:szCs w:val="24"/>
        </w:rPr>
        <w:t>比选人为</w:t>
      </w:r>
      <w:r>
        <w:rPr>
          <w:rFonts w:hint="eastAsia"/>
          <w:sz w:val="24"/>
          <w:szCs w:val="24"/>
          <w:u w:val="single"/>
        </w:rPr>
        <w:t>重庆铜梁高新技术产业开发区管委会</w:t>
      </w:r>
      <w:r>
        <w:rPr>
          <w:sz w:val="24"/>
          <w:szCs w:val="24"/>
        </w:rPr>
        <w:t>，建设资金来源为</w:t>
      </w:r>
      <w:r>
        <w:rPr>
          <w:rFonts w:hint="eastAsia"/>
          <w:sz w:val="24"/>
          <w:szCs w:val="24"/>
          <w:u w:val="single"/>
        </w:rPr>
        <w:t>业主自筹</w:t>
      </w:r>
      <w:r>
        <w:rPr>
          <w:sz w:val="24"/>
          <w:szCs w:val="24"/>
        </w:rPr>
        <w:t>，项目已具备竞争性比选条件，现对该项目</w:t>
      </w:r>
      <w:r>
        <w:rPr>
          <w:rFonts w:hint="eastAsia"/>
          <w:sz w:val="24"/>
          <w:szCs w:val="24"/>
        </w:rPr>
        <w:t>施工</w:t>
      </w:r>
      <w:r>
        <w:rPr>
          <w:sz w:val="24"/>
          <w:szCs w:val="24"/>
        </w:rPr>
        <w:t>进行竞争性比选。</w:t>
      </w:r>
    </w:p>
    <w:p>
      <w:pPr>
        <w:pStyle w:val="5"/>
        <w:spacing w:before="0" w:after="0" w:line="500" w:lineRule="exact"/>
        <w:jc w:val="left"/>
        <w:rPr>
          <w:rFonts w:ascii="宋体" w:eastAsia="宋体" w:cs="仿宋"/>
          <w:snapToGrid w:val="0"/>
          <w:sz w:val="28"/>
          <w:szCs w:val="28"/>
        </w:rPr>
      </w:pPr>
      <w:bookmarkStart w:id="18" w:name="_Toc325910548"/>
      <w:bookmarkStart w:id="19" w:name="_Toc270342989"/>
      <w:bookmarkStart w:id="20" w:name="_Toc24267"/>
      <w:bookmarkStart w:id="21" w:name="_Toc200359428"/>
      <w:bookmarkStart w:id="22" w:name="_Toc200359239"/>
      <w:bookmarkStart w:id="23" w:name="_Toc234404424"/>
      <w:r>
        <w:rPr>
          <w:rFonts w:ascii="宋体" w:eastAsia="宋体" w:cs="仿宋"/>
          <w:snapToGrid w:val="0"/>
          <w:sz w:val="28"/>
          <w:szCs w:val="28"/>
        </w:rPr>
        <w:t xml:space="preserve">2. </w:t>
      </w:r>
      <w:r>
        <w:rPr>
          <w:rFonts w:hint="eastAsia" w:ascii="宋体" w:eastAsia="宋体" w:cs="仿宋"/>
          <w:snapToGrid w:val="0"/>
          <w:sz w:val="28"/>
          <w:szCs w:val="28"/>
        </w:rPr>
        <w:t>工程概况与比选范围</w:t>
      </w:r>
      <w:bookmarkEnd w:id="18"/>
      <w:bookmarkEnd w:id="19"/>
      <w:bookmarkEnd w:id="20"/>
      <w:bookmarkEnd w:id="21"/>
      <w:bookmarkEnd w:id="22"/>
      <w:bookmarkEnd w:id="23"/>
      <w:r>
        <w:rPr>
          <w:rFonts w:ascii="宋体" w:eastAsia="宋体" w:cs="仿宋"/>
          <w:snapToGrid w:val="0"/>
          <w:sz w:val="28"/>
          <w:szCs w:val="28"/>
        </w:rPr>
        <w:t xml:space="preserve"> </w:t>
      </w:r>
    </w:p>
    <w:p>
      <w:pPr>
        <w:tabs>
          <w:tab w:val="left" w:pos="8520"/>
        </w:tabs>
        <w:autoSpaceDE w:val="0"/>
        <w:autoSpaceDN w:val="0"/>
        <w:adjustRightInd w:val="0"/>
        <w:snapToGrid w:val="0"/>
        <w:spacing w:line="500" w:lineRule="exact"/>
        <w:ind w:firstLine="480" w:firstLineChars="200"/>
        <w:jc w:val="left"/>
        <w:rPr>
          <w:rFonts w:ascii="宋体" w:hAnsi="宋体" w:cs="MingLiU"/>
          <w:snapToGrid w:val="0"/>
          <w:kern w:val="0"/>
          <w:sz w:val="24"/>
          <w:szCs w:val="24"/>
        </w:rPr>
      </w:pPr>
      <w:r>
        <w:rPr>
          <w:rFonts w:ascii="宋体" w:hAnsi="宋体" w:cs="MingLiU"/>
          <w:snapToGrid w:val="0"/>
          <w:kern w:val="0"/>
          <w:sz w:val="24"/>
          <w:szCs w:val="24"/>
        </w:rPr>
        <w:t xml:space="preserve">2.1  </w:t>
      </w:r>
      <w:r>
        <w:rPr>
          <w:rFonts w:hint="eastAsia" w:ascii="宋体" w:hAnsi="宋体" w:cs="MingLiU"/>
          <w:snapToGrid w:val="0"/>
          <w:kern w:val="0"/>
          <w:sz w:val="24"/>
          <w:szCs w:val="24"/>
        </w:rPr>
        <w:t>工程概况：拟在工人新村外新建停车场，拟设停车位42个，包括场地平整、石渣回填、场地硬化、周边绿化等。总投资约</w:t>
      </w:r>
      <w:r>
        <w:rPr>
          <w:rFonts w:hint="eastAsia" w:ascii="宋体" w:hAnsi="宋体" w:cs="MingLiU"/>
          <w:snapToGrid w:val="0"/>
          <w:kern w:val="0"/>
          <w:sz w:val="24"/>
          <w:szCs w:val="24"/>
          <w:lang w:val="en-US" w:eastAsia="zh-CN"/>
        </w:rPr>
        <w:t>6</w:t>
      </w:r>
      <w:r>
        <w:rPr>
          <w:rFonts w:hint="eastAsia" w:ascii="宋体" w:hAnsi="宋体" w:cs="MingLiU"/>
          <w:snapToGrid w:val="0"/>
          <w:kern w:val="0"/>
          <w:sz w:val="24"/>
          <w:szCs w:val="24"/>
        </w:rPr>
        <w:t>0万元。</w:t>
      </w:r>
    </w:p>
    <w:p>
      <w:pPr>
        <w:tabs>
          <w:tab w:val="left" w:pos="8520"/>
        </w:tabs>
        <w:autoSpaceDE w:val="0"/>
        <w:autoSpaceDN w:val="0"/>
        <w:adjustRightInd w:val="0"/>
        <w:snapToGrid w:val="0"/>
        <w:spacing w:line="500" w:lineRule="exact"/>
        <w:ind w:firstLine="480" w:firstLineChars="200"/>
        <w:jc w:val="left"/>
        <w:rPr>
          <w:rFonts w:ascii="宋体" w:cs="MingLiU"/>
          <w:snapToGrid w:val="0"/>
          <w:kern w:val="0"/>
          <w:sz w:val="24"/>
          <w:szCs w:val="24"/>
        </w:rPr>
      </w:pPr>
      <w:r>
        <w:rPr>
          <w:rFonts w:ascii="宋体" w:hAnsi="宋体" w:cs="MingLiU"/>
          <w:snapToGrid w:val="0"/>
          <w:kern w:val="0"/>
          <w:sz w:val="24"/>
          <w:szCs w:val="24"/>
        </w:rPr>
        <w:t xml:space="preserve">2.2  </w:t>
      </w:r>
      <w:r>
        <w:rPr>
          <w:rFonts w:hint="eastAsia" w:ascii="宋体" w:hAnsi="宋体" w:cs="MingLiU"/>
          <w:snapToGrid w:val="0"/>
          <w:kern w:val="0"/>
          <w:sz w:val="24"/>
          <w:szCs w:val="24"/>
        </w:rPr>
        <w:t>建设地点：铜梁区蒲吕街道。</w:t>
      </w:r>
    </w:p>
    <w:p>
      <w:pPr>
        <w:tabs>
          <w:tab w:val="left" w:pos="8520"/>
        </w:tabs>
        <w:autoSpaceDE w:val="0"/>
        <w:autoSpaceDN w:val="0"/>
        <w:adjustRightInd w:val="0"/>
        <w:snapToGrid w:val="0"/>
        <w:spacing w:line="500" w:lineRule="exact"/>
        <w:jc w:val="left"/>
        <w:rPr>
          <w:rFonts w:ascii="宋体" w:cs="MingLiU"/>
          <w:snapToGrid w:val="0"/>
          <w:kern w:val="0"/>
          <w:sz w:val="24"/>
          <w:szCs w:val="24"/>
        </w:rPr>
      </w:pPr>
      <w:r>
        <w:rPr>
          <w:rFonts w:ascii="宋体" w:hAnsi="宋体" w:cs="MingLiU"/>
          <w:snapToGrid w:val="0"/>
          <w:kern w:val="0"/>
          <w:sz w:val="24"/>
          <w:szCs w:val="24"/>
        </w:rPr>
        <w:t xml:space="preserve">    2.3  </w:t>
      </w:r>
      <w:r>
        <w:rPr>
          <w:rFonts w:hint="eastAsia" w:ascii="宋体" w:hAnsi="宋体" w:cs="MingLiU"/>
          <w:snapToGrid w:val="0"/>
          <w:kern w:val="0"/>
          <w:sz w:val="24"/>
          <w:szCs w:val="24"/>
        </w:rPr>
        <w:t>比选范围：该项目施工图所示内容，具体详见比选人发布的工程量清单。</w:t>
      </w:r>
    </w:p>
    <w:p>
      <w:pPr>
        <w:tabs>
          <w:tab w:val="left" w:pos="8520"/>
        </w:tabs>
        <w:autoSpaceDE w:val="0"/>
        <w:autoSpaceDN w:val="0"/>
        <w:adjustRightInd w:val="0"/>
        <w:snapToGrid w:val="0"/>
        <w:spacing w:line="500" w:lineRule="exact"/>
        <w:ind w:firstLine="480" w:firstLineChars="200"/>
        <w:jc w:val="left"/>
        <w:rPr>
          <w:rFonts w:ascii="宋体" w:cs="MingLiU"/>
          <w:snapToGrid w:val="0"/>
          <w:kern w:val="0"/>
          <w:sz w:val="24"/>
          <w:szCs w:val="24"/>
        </w:rPr>
      </w:pPr>
      <w:r>
        <w:rPr>
          <w:rFonts w:ascii="宋体" w:hAnsi="宋体" w:cs="MingLiU"/>
          <w:snapToGrid w:val="0"/>
          <w:kern w:val="0"/>
          <w:sz w:val="24"/>
          <w:szCs w:val="24"/>
        </w:rPr>
        <w:t xml:space="preserve">2.4  </w:t>
      </w:r>
      <w:r>
        <w:rPr>
          <w:rFonts w:hint="eastAsia" w:ascii="宋体" w:hAnsi="宋体" w:cs="MingLiU"/>
          <w:snapToGrid w:val="0"/>
          <w:kern w:val="0"/>
          <w:sz w:val="24"/>
          <w:szCs w:val="24"/>
        </w:rPr>
        <w:t>计划工期：</w:t>
      </w:r>
      <w:r>
        <w:rPr>
          <w:rFonts w:hint="eastAsia" w:ascii="宋体" w:hAnsi="宋体" w:cs="MingLiU"/>
          <w:b/>
          <w:bCs/>
          <w:snapToGrid w:val="0"/>
          <w:kern w:val="0"/>
          <w:sz w:val="24"/>
          <w:szCs w:val="24"/>
          <w:u w:val="single"/>
          <w:lang w:val="en-US" w:eastAsia="zh-CN"/>
        </w:rPr>
        <w:t>10</w:t>
      </w:r>
      <w:r>
        <w:rPr>
          <w:rFonts w:hint="eastAsia" w:ascii="宋体" w:hAnsi="宋体" w:cs="MingLiU"/>
          <w:snapToGrid w:val="0"/>
          <w:kern w:val="0"/>
          <w:sz w:val="24"/>
          <w:szCs w:val="24"/>
        </w:rPr>
        <w:t>日历天。</w:t>
      </w:r>
    </w:p>
    <w:p>
      <w:pPr>
        <w:pStyle w:val="5"/>
        <w:spacing w:before="0" w:after="0" w:line="500" w:lineRule="exact"/>
        <w:jc w:val="left"/>
        <w:rPr>
          <w:rFonts w:ascii="宋体" w:eastAsia="宋体" w:cs="仿宋"/>
          <w:snapToGrid w:val="0"/>
          <w:sz w:val="28"/>
          <w:szCs w:val="28"/>
        </w:rPr>
      </w:pPr>
      <w:bookmarkStart w:id="24" w:name="_Toc200359429"/>
      <w:bookmarkStart w:id="25" w:name="_Toc270342990"/>
      <w:bookmarkStart w:id="26" w:name="_Toc13109"/>
      <w:bookmarkStart w:id="27" w:name="_Toc200359240"/>
      <w:bookmarkStart w:id="28" w:name="_Toc234404425"/>
      <w:bookmarkStart w:id="29" w:name="_Toc325910549"/>
      <w:r>
        <w:rPr>
          <w:rFonts w:ascii="宋体" w:eastAsia="宋体" w:cs="仿宋"/>
          <w:snapToGrid w:val="0"/>
          <w:sz w:val="28"/>
          <w:szCs w:val="28"/>
        </w:rPr>
        <w:t xml:space="preserve">3. </w:t>
      </w:r>
      <w:r>
        <w:rPr>
          <w:rFonts w:hint="eastAsia" w:ascii="宋体" w:eastAsia="宋体" w:cs="仿宋"/>
          <w:snapToGrid w:val="0"/>
          <w:sz w:val="28"/>
          <w:szCs w:val="28"/>
        </w:rPr>
        <w:t>投标人资格要求</w:t>
      </w:r>
      <w:bookmarkEnd w:id="24"/>
      <w:bookmarkEnd w:id="25"/>
      <w:bookmarkEnd w:id="26"/>
      <w:bookmarkEnd w:id="27"/>
      <w:bookmarkEnd w:id="28"/>
      <w:bookmarkEnd w:id="29"/>
    </w:p>
    <w:p>
      <w:pPr>
        <w:tabs>
          <w:tab w:val="left" w:pos="8520"/>
        </w:tabs>
        <w:autoSpaceDE w:val="0"/>
        <w:autoSpaceDN w:val="0"/>
        <w:adjustRightInd w:val="0"/>
        <w:snapToGrid w:val="0"/>
        <w:spacing w:line="500" w:lineRule="exact"/>
        <w:jc w:val="left"/>
        <w:rPr>
          <w:rFonts w:ascii="宋体" w:hAnsi="宋体" w:cs="MingLiU"/>
          <w:snapToGrid w:val="0"/>
          <w:kern w:val="0"/>
          <w:sz w:val="24"/>
          <w:szCs w:val="24"/>
        </w:rPr>
      </w:pPr>
      <w:bookmarkStart w:id="30" w:name="_Toc234404426"/>
      <w:bookmarkStart w:id="31" w:name="_Toc270342991"/>
      <w:bookmarkStart w:id="32" w:name="_Toc29587"/>
      <w:bookmarkStart w:id="33" w:name="_Toc200359430"/>
      <w:bookmarkStart w:id="34" w:name="_Toc200359241"/>
      <w:bookmarkStart w:id="35" w:name="_Toc325910550"/>
      <w:r>
        <w:rPr>
          <w:rFonts w:hint="eastAsia" w:ascii="宋体" w:hAnsi="宋体" w:cs="MingLiU"/>
          <w:snapToGrid w:val="0"/>
          <w:kern w:val="0"/>
          <w:sz w:val="24"/>
          <w:szCs w:val="24"/>
        </w:rPr>
        <w:t>3.1  本次招标要求投标人须具备以下条件：</w:t>
      </w:r>
    </w:p>
    <w:p>
      <w:pPr>
        <w:tabs>
          <w:tab w:val="left" w:pos="8520"/>
        </w:tabs>
        <w:autoSpaceDE w:val="0"/>
        <w:autoSpaceDN w:val="0"/>
        <w:adjustRightInd w:val="0"/>
        <w:snapToGrid w:val="0"/>
        <w:spacing w:line="500" w:lineRule="exact"/>
        <w:jc w:val="left"/>
        <w:rPr>
          <w:rFonts w:ascii="宋体" w:hAnsi="宋体" w:cs="MingLiU"/>
          <w:snapToGrid w:val="0"/>
          <w:kern w:val="0"/>
          <w:sz w:val="24"/>
          <w:szCs w:val="24"/>
        </w:rPr>
      </w:pPr>
      <w:r>
        <w:rPr>
          <w:rFonts w:hint="eastAsia" w:ascii="宋体" w:hAnsi="宋体" w:cs="MingLiU"/>
          <w:snapToGrid w:val="0"/>
          <w:kern w:val="0"/>
          <w:sz w:val="24"/>
          <w:szCs w:val="24"/>
        </w:rPr>
        <w:t>3.1.1 本次招标要求投标人具备的资质条件：投标人须具备建设行政主管部门颁发的</w:t>
      </w:r>
      <w:r>
        <w:rPr>
          <w:rFonts w:hint="eastAsia" w:ascii="宋体" w:hAnsi="宋体" w:cs="MingLiU"/>
          <w:snapToGrid w:val="0"/>
          <w:kern w:val="0"/>
          <w:sz w:val="24"/>
          <w:szCs w:val="24"/>
          <w:u w:val="single"/>
        </w:rPr>
        <w:t>市政公用工程施工总承包叁级及以上</w:t>
      </w:r>
      <w:r>
        <w:rPr>
          <w:rFonts w:hint="eastAsia" w:ascii="宋体" w:hAnsi="宋体" w:cs="MingLiU"/>
          <w:snapToGrid w:val="0"/>
          <w:kern w:val="0"/>
          <w:sz w:val="24"/>
          <w:szCs w:val="24"/>
        </w:rPr>
        <w:t>资质，并在人员、设备、资金等方面具有相应的施工能力；</w:t>
      </w:r>
    </w:p>
    <w:p>
      <w:pPr>
        <w:tabs>
          <w:tab w:val="left" w:pos="8520"/>
        </w:tabs>
        <w:autoSpaceDE w:val="0"/>
        <w:autoSpaceDN w:val="0"/>
        <w:adjustRightInd w:val="0"/>
        <w:snapToGrid w:val="0"/>
        <w:spacing w:line="500" w:lineRule="exact"/>
        <w:jc w:val="left"/>
        <w:rPr>
          <w:rFonts w:ascii="宋体" w:hAnsi="宋体" w:cs="MingLiU"/>
          <w:snapToGrid w:val="0"/>
          <w:kern w:val="0"/>
          <w:sz w:val="24"/>
          <w:szCs w:val="24"/>
        </w:rPr>
      </w:pPr>
      <w:r>
        <w:rPr>
          <w:rFonts w:hint="eastAsia" w:ascii="宋体" w:hAnsi="宋体" w:cs="MingLiU"/>
          <w:snapToGrid w:val="0"/>
          <w:kern w:val="0"/>
          <w:sz w:val="24"/>
          <w:szCs w:val="24"/>
        </w:rPr>
        <w:t>3.1.2 投标人还应在人员、设备、资金等方面具有相应的施工能力，详见比选文件第二章投标人须知前附表第1.4.1条内容。</w:t>
      </w:r>
    </w:p>
    <w:p>
      <w:pPr>
        <w:tabs>
          <w:tab w:val="left" w:pos="8520"/>
        </w:tabs>
        <w:autoSpaceDE w:val="0"/>
        <w:autoSpaceDN w:val="0"/>
        <w:adjustRightInd w:val="0"/>
        <w:snapToGrid w:val="0"/>
        <w:spacing w:line="500" w:lineRule="exact"/>
        <w:jc w:val="left"/>
        <w:rPr>
          <w:rFonts w:ascii="宋体" w:hAnsi="宋体" w:cs="MingLiU"/>
          <w:snapToGrid w:val="0"/>
          <w:kern w:val="0"/>
          <w:sz w:val="24"/>
          <w:szCs w:val="24"/>
        </w:rPr>
      </w:pPr>
      <w:r>
        <w:rPr>
          <w:rFonts w:hint="eastAsia" w:ascii="宋体" w:hAnsi="宋体" w:cs="MingLiU"/>
          <w:snapToGrid w:val="0"/>
          <w:kern w:val="0"/>
          <w:sz w:val="24"/>
          <w:szCs w:val="24"/>
        </w:rPr>
        <w:t>3.2  本次招标不接受联合体投标。</w:t>
      </w:r>
    </w:p>
    <w:p>
      <w:pPr>
        <w:pStyle w:val="5"/>
        <w:spacing w:before="0" w:after="0" w:line="500" w:lineRule="exact"/>
        <w:jc w:val="left"/>
        <w:rPr>
          <w:rFonts w:ascii="宋体" w:eastAsia="宋体" w:cs="仿宋"/>
          <w:snapToGrid w:val="0"/>
          <w:sz w:val="28"/>
          <w:szCs w:val="28"/>
        </w:rPr>
      </w:pPr>
      <w:r>
        <w:rPr>
          <w:rFonts w:ascii="宋体" w:eastAsia="宋体" w:cs="仿宋"/>
          <w:snapToGrid w:val="0"/>
          <w:sz w:val="28"/>
          <w:szCs w:val="28"/>
        </w:rPr>
        <w:t xml:space="preserve">4. </w:t>
      </w:r>
      <w:r>
        <w:rPr>
          <w:rFonts w:hint="eastAsia" w:ascii="宋体" w:eastAsia="宋体" w:cs="仿宋"/>
          <w:snapToGrid w:val="0"/>
          <w:sz w:val="28"/>
          <w:szCs w:val="28"/>
        </w:rPr>
        <w:t>竞争性比选文件的获取</w:t>
      </w:r>
      <w:bookmarkEnd w:id="30"/>
      <w:bookmarkEnd w:id="31"/>
      <w:bookmarkEnd w:id="32"/>
      <w:bookmarkEnd w:id="33"/>
      <w:bookmarkEnd w:id="34"/>
      <w:bookmarkEnd w:id="35"/>
    </w:p>
    <w:p>
      <w:pPr>
        <w:tabs>
          <w:tab w:val="left" w:pos="8520"/>
        </w:tabs>
        <w:autoSpaceDE w:val="0"/>
        <w:autoSpaceDN w:val="0"/>
        <w:adjustRightInd w:val="0"/>
        <w:snapToGrid w:val="0"/>
        <w:spacing w:line="500" w:lineRule="exact"/>
        <w:ind w:firstLine="480" w:firstLineChars="200"/>
        <w:jc w:val="left"/>
        <w:rPr>
          <w:rFonts w:ascii="宋体" w:hAnsi="宋体" w:cs="MingLiU"/>
          <w:snapToGrid w:val="0"/>
          <w:kern w:val="0"/>
          <w:sz w:val="24"/>
          <w:szCs w:val="24"/>
        </w:rPr>
      </w:pPr>
      <w:bookmarkStart w:id="36" w:name="_Toc234404427"/>
      <w:bookmarkStart w:id="37" w:name="_Toc270342993"/>
      <w:bookmarkStart w:id="38" w:name="_Toc200359432"/>
      <w:bookmarkStart w:id="39" w:name="_Toc7771"/>
      <w:bookmarkStart w:id="40" w:name="_Toc200359243"/>
      <w:bookmarkStart w:id="41" w:name="_Toc325910552"/>
      <w:r>
        <w:rPr>
          <w:rFonts w:hint="eastAsia" w:ascii="宋体" w:hAnsi="宋体" w:cs="MingLiU"/>
          <w:snapToGrid w:val="0"/>
          <w:kern w:val="0"/>
          <w:sz w:val="24"/>
          <w:szCs w:val="24"/>
        </w:rPr>
        <w:t>凡有意参加投标者，请于2021年</w:t>
      </w:r>
      <w:r>
        <w:rPr>
          <w:rFonts w:hint="eastAsia" w:ascii="宋体" w:hAnsi="宋体" w:cs="MingLiU"/>
          <w:snapToGrid w:val="0"/>
          <w:kern w:val="0"/>
          <w:sz w:val="24"/>
          <w:szCs w:val="24"/>
          <w:lang w:val="en-US" w:eastAsia="zh-CN"/>
        </w:rPr>
        <w:t>4</w:t>
      </w:r>
      <w:r>
        <w:rPr>
          <w:rFonts w:hint="eastAsia" w:ascii="宋体" w:hAnsi="宋体" w:cs="MingLiU"/>
          <w:snapToGrid w:val="0"/>
          <w:kern w:val="0"/>
          <w:sz w:val="24"/>
          <w:szCs w:val="24"/>
        </w:rPr>
        <w:t>月</w:t>
      </w:r>
      <w:r>
        <w:rPr>
          <w:rFonts w:hint="eastAsia" w:ascii="宋体" w:hAnsi="宋体" w:cs="MingLiU"/>
          <w:snapToGrid w:val="0"/>
          <w:kern w:val="0"/>
          <w:sz w:val="24"/>
          <w:szCs w:val="24"/>
          <w:lang w:val="en-US" w:eastAsia="zh-CN"/>
        </w:rPr>
        <w:t>25</w:t>
      </w:r>
      <w:r>
        <w:rPr>
          <w:rFonts w:hint="eastAsia" w:ascii="宋体" w:hAnsi="宋体" w:cs="MingLiU"/>
          <w:snapToGrid w:val="0"/>
          <w:kern w:val="0"/>
          <w:sz w:val="24"/>
          <w:szCs w:val="24"/>
        </w:rPr>
        <w:t>日起，（北京时间，下同），在“重庆绅鹏实业开发有限公司</w:t>
      </w:r>
      <w:r>
        <w:rPr>
          <w:rFonts w:hint="eastAsia" w:ascii="宋体" w:hAnsi="宋体" w:cs="宋体"/>
          <w:kern w:val="0"/>
          <w:sz w:val="24"/>
          <w:szCs w:val="24"/>
        </w:rPr>
        <w:t>（www.cqshenpeng.com）</w:t>
      </w:r>
      <w:r>
        <w:rPr>
          <w:rFonts w:hint="eastAsia" w:ascii="宋体" w:hAnsi="宋体" w:cs="MingLiU"/>
          <w:snapToGrid w:val="0"/>
          <w:kern w:val="0"/>
          <w:sz w:val="24"/>
          <w:szCs w:val="24"/>
        </w:rPr>
        <w:t>”网上仔细阅读和下载：比选文件（含工程量清单）、图纸、澄清、修改、补充通知、最高限价通知等全部内容。不管下载与否都视为潜在投标人全部知晓有关招投标过程和全部内容。</w:t>
      </w:r>
    </w:p>
    <w:p>
      <w:pPr>
        <w:pStyle w:val="5"/>
        <w:spacing w:before="0" w:after="0" w:line="500" w:lineRule="exact"/>
        <w:jc w:val="left"/>
        <w:rPr>
          <w:rFonts w:ascii="宋体" w:eastAsia="宋体" w:cs="仿宋"/>
          <w:snapToGrid w:val="0"/>
          <w:sz w:val="28"/>
          <w:szCs w:val="28"/>
        </w:rPr>
      </w:pPr>
      <w:r>
        <w:rPr>
          <w:rFonts w:ascii="宋体" w:eastAsia="宋体" w:cs="仿宋"/>
          <w:snapToGrid w:val="0"/>
          <w:sz w:val="28"/>
          <w:szCs w:val="28"/>
        </w:rPr>
        <w:t xml:space="preserve">5. </w:t>
      </w:r>
      <w:r>
        <w:rPr>
          <w:rFonts w:hint="eastAsia" w:ascii="宋体" w:eastAsia="宋体" w:cs="仿宋"/>
          <w:snapToGrid w:val="0"/>
          <w:sz w:val="28"/>
          <w:szCs w:val="28"/>
        </w:rPr>
        <w:t>投标文件的递交</w:t>
      </w:r>
    </w:p>
    <w:p>
      <w:pPr>
        <w:spacing w:line="500" w:lineRule="exact"/>
        <w:jc w:val="left"/>
        <w:rPr>
          <w:rFonts w:ascii="宋体" w:hAnsi="宋体" w:cs="宋体"/>
          <w:b/>
          <w:bCs/>
          <w:sz w:val="24"/>
          <w:szCs w:val="24"/>
          <w:u w:val="single"/>
        </w:rPr>
      </w:pPr>
      <w:bookmarkStart w:id="42" w:name="_Toc266543655"/>
      <w:bookmarkStart w:id="43" w:name="_Toc29428"/>
      <w:bookmarkStart w:id="44" w:name="_Toc263326662"/>
      <w:bookmarkStart w:id="45" w:name="_Toc437509149"/>
      <w:r>
        <w:rPr>
          <w:rFonts w:hint="eastAsia" w:ascii="宋体" w:hAnsi="宋体" w:cs="宋体"/>
        </w:rPr>
        <w:t xml:space="preserve">   </w:t>
      </w:r>
      <w:r>
        <w:rPr>
          <w:rFonts w:hint="eastAsia" w:ascii="宋体" w:hAnsi="宋体" w:cs="宋体"/>
          <w:sz w:val="24"/>
          <w:szCs w:val="24"/>
        </w:rPr>
        <w:t xml:space="preserve"> 5.1 </w:t>
      </w:r>
      <w:r>
        <w:rPr>
          <w:rFonts w:ascii="宋体" w:hAnsi="宋体" w:cs="宋体"/>
          <w:sz w:val="24"/>
          <w:szCs w:val="24"/>
        </w:rPr>
        <w:t xml:space="preserve"> </w:t>
      </w:r>
      <w:r>
        <w:rPr>
          <w:rFonts w:hint="eastAsia" w:ascii="宋体" w:hAnsi="宋体" w:cs="宋体"/>
          <w:sz w:val="24"/>
          <w:szCs w:val="24"/>
        </w:rPr>
        <w:t>投标文件递交的截止时间（投标截止时间，下同）为</w:t>
      </w:r>
      <w:r>
        <w:rPr>
          <w:rFonts w:hint="eastAsia" w:ascii="宋体" w:hAnsi="宋体" w:cs="宋体"/>
          <w:b/>
          <w:bCs/>
          <w:sz w:val="24"/>
          <w:szCs w:val="24"/>
          <w:u w:val="single"/>
        </w:rPr>
        <w:t>2021</w:t>
      </w:r>
      <w:r>
        <w:rPr>
          <w:rFonts w:hint="eastAsia" w:ascii="宋体" w:hAnsi="宋体" w:cs="宋体"/>
          <w:b/>
          <w:bCs/>
          <w:sz w:val="24"/>
          <w:szCs w:val="24"/>
        </w:rPr>
        <w:t>年</w:t>
      </w:r>
      <w:r>
        <w:rPr>
          <w:rFonts w:hint="eastAsia" w:ascii="宋体" w:hAnsi="宋体" w:cs="宋体"/>
          <w:b/>
          <w:bCs/>
          <w:sz w:val="24"/>
          <w:szCs w:val="24"/>
          <w:u w:val="single"/>
          <w:lang w:val="en-US" w:eastAsia="zh-CN"/>
        </w:rPr>
        <w:t>4</w:t>
      </w:r>
      <w:r>
        <w:rPr>
          <w:rFonts w:hint="eastAsia" w:ascii="宋体" w:hAnsi="宋体" w:cs="宋体"/>
          <w:b/>
          <w:bCs/>
          <w:sz w:val="24"/>
          <w:szCs w:val="24"/>
        </w:rPr>
        <w:t>月</w:t>
      </w:r>
      <w:r>
        <w:rPr>
          <w:rFonts w:hint="eastAsia" w:ascii="宋体" w:hAnsi="宋体" w:cs="宋体"/>
          <w:b/>
          <w:bCs/>
          <w:sz w:val="24"/>
          <w:szCs w:val="24"/>
          <w:u w:val="single"/>
          <w:lang w:val="en-US" w:eastAsia="zh-CN"/>
        </w:rPr>
        <w:t>29</w:t>
      </w:r>
      <w:r>
        <w:rPr>
          <w:rFonts w:hint="eastAsia" w:ascii="宋体" w:hAnsi="宋体" w:cs="宋体"/>
          <w:b/>
          <w:bCs/>
          <w:sz w:val="24"/>
          <w:szCs w:val="24"/>
        </w:rPr>
        <w:t>日</w:t>
      </w:r>
      <w:r>
        <w:rPr>
          <w:rFonts w:hint="eastAsia" w:ascii="宋体" w:hAnsi="宋体" w:cs="宋体"/>
          <w:b/>
          <w:bCs/>
          <w:sz w:val="24"/>
          <w:szCs w:val="24"/>
          <w:u w:val="single"/>
        </w:rPr>
        <w:t xml:space="preserve"> 9</w:t>
      </w:r>
      <w:r>
        <w:rPr>
          <w:rFonts w:hint="eastAsia" w:ascii="宋体" w:hAnsi="宋体" w:cs="宋体"/>
          <w:b/>
          <w:bCs/>
          <w:sz w:val="24"/>
          <w:szCs w:val="24"/>
        </w:rPr>
        <w:t>时</w:t>
      </w:r>
      <w:r>
        <w:rPr>
          <w:rFonts w:hint="eastAsia" w:ascii="宋体" w:hAnsi="宋体" w:cs="宋体"/>
          <w:b/>
          <w:bCs/>
          <w:sz w:val="24"/>
          <w:szCs w:val="24"/>
          <w:u w:val="single"/>
        </w:rPr>
        <w:t>30分</w:t>
      </w:r>
      <w:r>
        <w:rPr>
          <w:rFonts w:ascii="宋体" w:hAnsi="宋体" w:cs="宋体"/>
          <w:b/>
          <w:bCs/>
          <w:sz w:val="24"/>
          <w:szCs w:val="24"/>
        </w:rPr>
        <w:t>(</w:t>
      </w:r>
      <w:r>
        <w:rPr>
          <w:rFonts w:hint="eastAsia" w:ascii="宋体" w:hAnsi="宋体" w:cs="宋体"/>
          <w:b/>
          <w:bCs/>
          <w:sz w:val="24"/>
          <w:szCs w:val="24"/>
        </w:rPr>
        <w:t>北京时间</w:t>
      </w:r>
      <w:r>
        <w:rPr>
          <w:rFonts w:ascii="宋体" w:hAnsi="宋体" w:cs="宋体"/>
          <w:b/>
          <w:bCs/>
          <w:sz w:val="24"/>
          <w:szCs w:val="24"/>
        </w:rPr>
        <w:t>)</w:t>
      </w:r>
      <w:r>
        <w:rPr>
          <w:rFonts w:hint="eastAsia" w:ascii="宋体" w:hAnsi="宋体" w:cs="宋体"/>
          <w:sz w:val="24"/>
          <w:szCs w:val="24"/>
        </w:rPr>
        <w:t>，地点为</w:t>
      </w:r>
      <w:r>
        <w:rPr>
          <w:rFonts w:hint="eastAsia" w:ascii="宋体" w:hAnsi="宋体" w:cs="宋体"/>
          <w:b/>
          <w:bCs/>
          <w:sz w:val="24"/>
          <w:szCs w:val="24"/>
          <w:u w:val="single"/>
        </w:rPr>
        <w:t>重庆铜梁高新技术产业开发区管委会702会议室。</w:t>
      </w:r>
    </w:p>
    <w:p>
      <w:pPr>
        <w:adjustRightInd w:val="0"/>
        <w:snapToGrid w:val="0"/>
        <w:spacing w:line="500" w:lineRule="exact"/>
        <w:ind w:firstLine="480" w:firstLineChars="200"/>
        <w:rPr>
          <w:rFonts w:ascii="宋体"/>
          <w:sz w:val="24"/>
          <w:szCs w:val="24"/>
        </w:rPr>
      </w:pPr>
      <w:r>
        <w:rPr>
          <w:rFonts w:hint="eastAsia" w:ascii="宋体" w:hAnsi="宋体" w:cs="宋体"/>
          <w:sz w:val="24"/>
          <w:szCs w:val="24"/>
        </w:rPr>
        <w:t>5.2</w:t>
      </w:r>
      <w:r>
        <w:rPr>
          <w:rFonts w:hint="eastAsia" w:ascii="宋体" w:hAnsi="宋体" w:cs="宋体"/>
          <w:b/>
          <w:bCs/>
          <w:sz w:val="24"/>
          <w:szCs w:val="24"/>
        </w:rPr>
        <w:t xml:space="preserve">  </w:t>
      </w:r>
      <w:r>
        <w:rPr>
          <w:rFonts w:hint="eastAsia" w:ascii="宋体" w:hAnsi="宋体" w:cs="宋体"/>
          <w:sz w:val="24"/>
          <w:szCs w:val="24"/>
        </w:rPr>
        <w:t>投标文件递交时间为：</w:t>
      </w:r>
      <w:r>
        <w:rPr>
          <w:rFonts w:hint="eastAsia" w:ascii="宋体" w:hAnsi="宋体" w:cs="宋体"/>
          <w:b/>
          <w:bCs/>
          <w:sz w:val="24"/>
          <w:szCs w:val="24"/>
          <w:u w:val="single"/>
        </w:rPr>
        <w:t>2021</w:t>
      </w:r>
      <w:r>
        <w:rPr>
          <w:rFonts w:hint="eastAsia" w:ascii="宋体" w:hAnsi="宋体" w:cs="宋体"/>
          <w:b/>
          <w:bCs/>
          <w:sz w:val="24"/>
          <w:szCs w:val="24"/>
        </w:rPr>
        <w:t>年</w:t>
      </w:r>
      <w:r>
        <w:rPr>
          <w:rFonts w:hint="eastAsia" w:ascii="宋体" w:hAnsi="宋体" w:cs="宋体"/>
          <w:b/>
          <w:bCs/>
          <w:sz w:val="24"/>
          <w:szCs w:val="24"/>
          <w:u w:val="single"/>
          <w:lang w:val="en-US" w:eastAsia="zh-CN"/>
        </w:rPr>
        <w:t>4</w:t>
      </w:r>
      <w:r>
        <w:rPr>
          <w:rFonts w:hint="eastAsia" w:ascii="宋体" w:hAnsi="宋体" w:cs="宋体"/>
          <w:b/>
          <w:bCs/>
          <w:sz w:val="24"/>
          <w:szCs w:val="24"/>
        </w:rPr>
        <w:t>月</w:t>
      </w:r>
      <w:r>
        <w:rPr>
          <w:rFonts w:hint="eastAsia" w:ascii="宋体" w:hAnsi="宋体" w:cs="宋体"/>
          <w:b/>
          <w:bCs/>
          <w:sz w:val="24"/>
          <w:szCs w:val="24"/>
          <w:u w:val="single"/>
          <w:lang w:val="en-US" w:eastAsia="zh-CN"/>
        </w:rPr>
        <w:t>29</w:t>
      </w:r>
      <w:r>
        <w:rPr>
          <w:rFonts w:hint="eastAsia" w:ascii="宋体" w:hAnsi="宋体" w:cs="宋体"/>
          <w:b/>
          <w:bCs/>
          <w:sz w:val="24"/>
          <w:szCs w:val="24"/>
        </w:rPr>
        <w:t>日</w:t>
      </w:r>
      <w:r>
        <w:rPr>
          <w:rFonts w:hint="eastAsia" w:ascii="宋体" w:hAnsi="宋体" w:cs="宋体"/>
          <w:b/>
          <w:bCs/>
          <w:sz w:val="24"/>
          <w:szCs w:val="24"/>
          <w:u w:val="single"/>
        </w:rPr>
        <w:t xml:space="preserve"> 9 </w:t>
      </w:r>
      <w:r>
        <w:rPr>
          <w:rFonts w:hint="eastAsia" w:ascii="宋体" w:hAnsi="宋体" w:cs="宋体"/>
          <w:b/>
          <w:bCs/>
          <w:sz w:val="24"/>
          <w:szCs w:val="24"/>
        </w:rPr>
        <w:t>时</w:t>
      </w:r>
      <w:r>
        <w:rPr>
          <w:rFonts w:hint="eastAsia" w:ascii="宋体" w:hAnsi="宋体" w:cs="宋体"/>
          <w:b/>
          <w:bCs/>
          <w:sz w:val="24"/>
          <w:szCs w:val="24"/>
          <w:u w:val="single"/>
        </w:rPr>
        <w:t>00</w:t>
      </w:r>
      <w:r>
        <w:rPr>
          <w:rFonts w:hint="eastAsia" w:ascii="宋体" w:hAnsi="宋体" w:cs="宋体"/>
          <w:b/>
          <w:bCs/>
          <w:sz w:val="24"/>
          <w:szCs w:val="24"/>
        </w:rPr>
        <w:t>分至</w:t>
      </w:r>
      <w:r>
        <w:rPr>
          <w:rFonts w:hint="eastAsia" w:ascii="宋体" w:hAnsi="宋体" w:cs="宋体"/>
          <w:b/>
          <w:bCs/>
          <w:sz w:val="24"/>
          <w:szCs w:val="24"/>
          <w:u w:val="single"/>
        </w:rPr>
        <w:t>2021</w:t>
      </w:r>
      <w:r>
        <w:rPr>
          <w:rFonts w:hint="eastAsia" w:ascii="宋体" w:hAnsi="宋体" w:cs="宋体"/>
          <w:b/>
          <w:bCs/>
          <w:sz w:val="24"/>
          <w:szCs w:val="24"/>
        </w:rPr>
        <w:t>年</w:t>
      </w:r>
      <w:r>
        <w:rPr>
          <w:rFonts w:hint="eastAsia" w:ascii="宋体" w:hAnsi="宋体" w:cs="宋体"/>
          <w:b/>
          <w:bCs/>
          <w:sz w:val="24"/>
          <w:szCs w:val="24"/>
          <w:u w:val="single"/>
          <w:lang w:val="en-US" w:eastAsia="zh-CN"/>
        </w:rPr>
        <w:t>4</w:t>
      </w:r>
      <w:r>
        <w:rPr>
          <w:rFonts w:hint="eastAsia" w:ascii="宋体" w:hAnsi="宋体" w:cs="宋体"/>
          <w:b/>
          <w:bCs/>
          <w:sz w:val="24"/>
          <w:szCs w:val="24"/>
        </w:rPr>
        <w:t>月</w:t>
      </w:r>
      <w:r>
        <w:rPr>
          <w:rFonts w:hint="eastAsia" w:ascii="宋体" w:hAnsi="宋体" w:cs="宋体"/>
          <w:b/>
          <w:bCs/>
          <w:sz w:val="24"/>
          <w:szCs w:val="24"/>
          <w:u w:val="single"/>
          <w:lang w:val="en-US" w:eastAsia="zh-CN"/>
        </w:rPr>
        <w:t>29</w:t>
      </w:r>
      <w:r>
        <w:rPr>
          <w:rFonts w:hint="eastAsia" w:ascii="宋体" w:hAnsi="宋体" w:cs="宋体"/>
          <w:b/>
          <w:bCs/>
          <w:sz w:val="24"/>
          <w:szCs w:val="24"/>
        </w:rPr>
        <w:t>日</w:t>
      </w:r>
      <w:r>
        <w:rPr>
          <w:rFonts w:hint="eastAsia" w:ascii="宋体" w:hAnsi="宋体" w:cs="宋体"/>
          <w:b/>
          <w:bCs/>
          <w:sz w:val="24"/>
          <w:szCs w:val="24"/>
          <w:u w:val="single"/>
        </w:rPr>
        <w:t>9</w:t>
      </w:r>
      <w:r>
        <w:rPr>
          <w:rFonts w:ascii="宋体" w:hAnsi="宋体" w:cs="宋体"/>
          <w:b/>
          <w:bCs/>
          <w:sz w:val="24"/>
          <w:szCs w:val="24"/>
        </w:rPr>
        <w:t>时</w:t>
      </w:r>
      <w:r>
        <w:rPr>
          <w:rFonts w:hint="eastAsia" w:ascii="宋体" w:hAnsi="宋体" w:cs="宋体"/>
          <w:b/>
          <w:bCs/>
          <w:sz w:val="24"/>
          <w:szCs w:val="24"/>
          <w:u w:val="single"/>
        </w:rPr>
        <w:t>30</w:t>
      </w:r>
      <w:r>
        <w:rPr>
          <w:rFonts w:hint="eastAsia" w:ascii="宋体" w:hAnsi="宋体" w:cs="宋体"/>
          <w:b/>
          <w:bCs/>
          <w:sz w:val="24"/>
          <w:szCs w:val="24"/>
        </w:rPr>
        <w:t>分</w:t>
      </w:r>
      <w:r>
        <w:rPr>
          <w:rFonts w:ascii="宋体" w:hAnsi="宋体" w:cs="宋体"/>
          <w:b/>
          <w:bCs/>
          <w:sz w:val="24"/>
          <w:szCs w:val="24"/>
        </w:rPr>
        <w:t>(</w:t>
      </w:r>
      <w:r>
        <w:rPr>
          <w:rFonts w:hint="eastAsia" w:ascii="宋体" w:hAnsi="宋体" w:cs="宋体"/>
          <w:b/>
          <w:bCs/>
          <w:sz w:val="24"/>
          <w:szCs w:val="24"/>
        </w:rPr>
        <w:t>北京时间</w:t>
      </w:r>
      <w:r>
        <w:rPr>
          <w:rFonts w:ascii="宋体" w:hAnsi="宋体" w:cs="宋体"/>
          <w:b/>
          <w:bCs/>
          <w:sz w:val="24"/>
          <w:szCs w:val="24"/>
        </w:rPr>
        <w:t>)</w:t>
      </w:r>
      <w:r>
        <w:rPr>
          <w:rFonts w:hint="eastAsia" w:ascii="宋体" w:hAnsi="宋体" w:cs="宋体"/>
          <w:b/>
          <w:bCs/>
          <w:sz w:val="24"/>
          <w:szCs w:val="24"/>
        </w:rPr>
        <w:t>；</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5.3  逾期送达的或者未送达指定地点的投标文件，比选人不予受理。</w:t>
      </w:r>
    </w:p>
    <w:bookmarkEnd w:id="42"/>
    <w:bookmarkEnd w:id="43"/>
    <w:bookmarkEnd w:id="44"/>
    <w:bookmarkEnd w:id="45"/>
    <w:p>
      <w:pPr>
        <w:pStyle w:val="5"/>
        <w:spacing w:before="0" w:after="0" w:line="500" w:lineRule="exact"/>
        <w:jc w:val="left"/>
        <w:rPr>
          <w:rFonts w:ascii="宋体" w:eastAsia="宋体" w:cs="仿宋"/>
          <w:snapToGrid w:val="0"/>
          <w:sz w:val="28"/>
          <w:szCs w:val="28"/>
        </w:rPr>
      </w:pPr>
      <w:r>
        <w:rPr>
          <w:rFonts w:ascii="宋体" w:eastAsia="宋体" w:cs="仿宋"/>
          <w:snapToGrid w:val="0"/>
          <w:sz w:val="28"/>
          <w:szCs w:val="28"/>
        </w:rPr>
        <w:t xml:space="preserve">6. </w:t>
      </w:r>
      <w:bookmarkEnd w:id="36"/>
      <w:bookmarkEnd w:id="37"/>
      <w:bookmarkStart w:id="46" w:name="_Toc270342994"/>
      <w:bookmarkStart w:id="47" w:name="_Toc234404428"/>
      <w:r>
        <w:rPr>
          <w:rFonts w:hint="eastAsia" w:ascii="宋体" w:eastAsia="宋体" w:cs="仿宋"/>
          <w:snapToGrid w:val="0"/>
          <w:sz w:val="28"/>
          <w:szCs w:val="28"/>
        </w:rPr>
        <w:t>发布公告的媒介</w:t>
      </w:r>
      <w:bookmarkEnd w:id="38"/>
      <w:bookmarkEnd w:id="39"/>
      <w:bookmarkEnd w:id="40"/>
      <w:bookmarkEnd w:id="41"/>
      <w:bookmarkEnd w:id="46"/>
      <w:bookmarkEnd w:id="47"/>
    </w:p>
    <w:p>
      <w:pPr>
        <w:spacing w:line="500" w:lineRule="exact"/>
        <w:ind w:firstLine="480" w:firstLineChars="200"/>
        <w:rPr>
          <w:rFonts w:ascii="宋体" w:cs="仿宋"/>
          <w:snapToGrid w:val="0"/>
          <w:sz w:val="24"/>
          <w:szCs w:val="24"/>
        </w:rPr>
      </w:pPr>
      <w:bookmarkStart w:id="48" w:name="_Toc21005"/>
      <w:bookmarkStart w:id="49" w:name="_Toc270342995"/>
      <w:bookmarkStart w:id="50" w:name="_Toc234404429"/>
      <w:bookmarkStart w:id="51" w:name="_Toc325910553"/>
      <w:r>
        <w:rPr>
          <w:rFonts w:hint="eastAsia" w:ascii="宋体" w:hAnsi="宋体" w:cs="宋体"/>
          <w:snapToGrid w:val="0"/>
          <w:kern w:val="0"/>
          <w:sz w:val="24"/>
          <w:szCs w:val="24"/>
        </w:rPr>
        <w:t>本次竞争性比选公告在</w:t>
      </w:r>
      <w:r>
        <w:rPr>
          <w:rFonts w:hint="eastAsia" w:ascii="宋体" w:hAnsi="宋体" w:cs="宋体"/>
          <w:kern w:val="0"/>
          <w:sz w:val="24"/>
          <w:szCs w:val="24"/>
        </w:rPr>
        <w:t>重庆绅鹏实业开发有限公司官网（www.cqshenpeng.com）</w:t>
      </w:r>
      <w:r>
        <w:rPr>
          <w:rFonts w:hint="eastAsia" w:ascii="宋体" w:hAnsi="宋体" w:cs="宋体"/>
          <w:snapToGrid w:val="0"/>
          <w:kern w:val="0"/>
          <w:sz w:val="24"/>
          <w:szCs w:val="24"/>
        </w:rPr>
        <w:t>上发布。</w:t>
      </w:r>
    </w:p>
    <w:p>
      <w:pPr>
        <w:pStyle w:val="5"/>
        <w:spacing w:before="0" w:after="0" w:line="500" w:lineRule="exact"/>
        <w:jc w:val="left"/>
        <w:rPr>
          <w:rFonts w:ascii="宋体" w:eastAsia="宋体" w:cs="仿宋"/>
          <w:snapToGrid w:val="0"/>
          <w:sz w:val="28"/>
          <w:szCs w:val="28"/>
        </w:rPr>
      </w:pPr>
      <w:r>
        <w:rPr>
          <w:rFonts w:ascii="宋体" w:eastAsia="宋体" w:cs="仿宋"/>
          <w:snapToGrid w:val="0"/>
          <w:sz w:val="28"/>
          <w:szCs w:val="28"/>
        </w:rPr>
        <w:t xml:space="preserve">7. </w:t>
      </w:r>
      <w:r>
        <w:rPr>
          <w:rFonts w:hint="eastAsia" w:ascii="宋体" w:eastAsia="宋体" w:cs="仿宋"/>
          <w:snapToGrid w:val="0"/>
          <w:sz w:val="28"/>
          <w:szCs w:val="28"/>
        </w:rPr>
        <w:t>联系方式</w:t>
      </w:r>
      <w:bookmarkEnd w:id="48"/>
      <w:bookmarkEnd w:id="49"/>
      <w:bookmarkEnd w:id="50"/>
      <w:bookmarkEnd w:id="51"/>
    </w:p>
    <w:p>
      <w:pPr>
        <w:autoSpaceDE w:val="0"/>
        <w:autoSpaceDN w:val="0"/>
        <w:adjustRightInd w:val="0"/>
        <w:snapToGrid w:val="0"/>
        <w:spacing w:line="500" w:lineRule="exact"/>
        <w:ind w:firstLine="480" w:firstLineChars="200"/>
        <w:jc w:val="left"/>
        <w:rPr>
          <w:rFonts w:ascii="宋体" w:hAnsi="宋体" w:cs="宋体"/>
          <w:snapToGrid w:val="0"/>
          <w:kern w:val="0"/>
          <w:sz w:val="24"/>
          <w:szCs w:val="24"/>
        </w:rPr>
      </w:pPr>
      <w:bookmarkStart w:id="52" w:name="_Toc15798"/>
      <w:bookmarkStart w:id="53" w:name="_Toc27491"/>
      <w:r>
        <w:rPr>
          <w:rFonts w:hint="eastAsia" w:ascii="宋体" w:hAnsi="宋体" w:cs="宋体"/>
          <w:snapToGrid w:val="0"/>
          <w:kern w:val="0"/>
          <w:sz w:val="24"/>
          <w:szCs w:val="24"/>
        </w:rPr>
        <w:t>比选人：</w:t>
      </w:r>
      <w:bookmarkEnd w:id="52"/>
      <w:bookmarkEnd w:id="53"/>
      <w:r>
        <w:rPr>
          <w:rFonts w:hint="eastAsia" w:ascii="宋体" w:hAnsi="宋体" w:cs="宋体"/>
          <w:snapToGrid w:val="0"/>
          <w:kern w:val="0"/>
          <w:sz w:val="24"/>
          <w:szCs w:val="24"/>
        </w:rPr>
        <w:t xml:space="preserve">重庆铜梁高新技术产业开发区管委会   </w:t>
      </w:r>
    </w:p>
    <w:p>
      <w:pPr>
        <w:autoSpaceDE w:val="0"/>
        <w:autoSpaceDN w:val="0"/>
        <w:adjustRightInd w:val="0"/>
        <w:snapToGrid w:val="0"/>
        <w:spacing w:line="500" w:lineRule="exact"/>
        <w:ind w:firstLine="480" w:firstLineChars="200"/>
        <w:jc w:val="left"/>
        <w:rPr>
          <w:rFonts w:ascii="宋体" w:hAnsi="宋体" w:cs="宋体"/>
          <w:snapToGrid w:val="0"/>
          <w:kern w:val="0"/>
          <w:sz w:val="24"/>
          <w:szCs w:val="24"/>
        </w:rPr>
      </w:pPr>
      <w:r>
        <w:rPr>
          <w:rFonts w:hint="eastAsia" w:ascii="宋体" w:hAnsi="宋体" w:cs="宋体"/>
          <w:snapToGrid w:val="0"/>
          <w:kern w:val="0"/>
          <w:sz w:val="24"/>
          <w:szCs w:val="24"/>
        </w:rPr>
        <w:t>地　址：铜梁区龙安大道24号</w:t>
      </w:r>
    </w:p>
    <w:p>
      <w:pPr>
        <w:autoSpaceDE w:val="0"/>
        <w:autoSpaceDN w:val="0"/>
        <w:adjustRightInd w:val="0"/>
        <w:snapToGrid w:val="0"/>
        <w:spacing w:line="500" w:lineRule="exact"/>
        <w:ind w:firstLine="480" w:firstLineChars="200"/>
        <w:jc w:val="left"/>
        <w:rPr>
          <w:rFonts w:ascii="宋体" w:hAnsi="宋体" w:cs="宋体"/>
          <w:snapToGrid w:val="0"/>
          <w:kern w:val="0"/>
          <w:sz w:val="24"/>
          <w:szCs w:val="24"/>
        </w:rPr>
      </w:pPr>
      <w:r>
        <w:rPr>
          <w:rFonts w:hint="eastAsia" w:ascii="宋体" w:hAnsi="宋体" w:cs="宋体"/>
          <w:snapToGrid w:val="0"/>
          <w:kern w:val="0"/>
          <w:sz w:val="24"/>
          <w:szCs w:val="24"/>
        </w:rPr>
        <w:t>联系人：肖老师</w:t>
      </w:r>
    </w:p>
    <w:p>
      <w:pPr>
        <w:autoSpaceDE w:val="0"/>
        <w:autoSpaceDN w:val="0"/>
        <w:adjustRightInd w:val="0"/>
        <w:snapToGrid w:val="0"/>
        <w:spacing w:line="500" w:lineRule="exact"/>
        <w:ind w:firstLine="480" w:firstLineChars="200"/>
        <w:jc w:val="left"/>
        <w:rPr>
          <w:rFonts w:ascii="宋体" w:hAnsi="宋体" w:cs="宋体"/>
          <w:snapToGrid w:val="0"/>
          <w:kern w:val="0"/>
          <w:sz w:val="24"/>
          <w:szCs w:val="24"/>
        </w:rPr>
      </w:pPr>
      <w:r>
        <w:rPr>
          <w:rFonts w:hint="eastAsia" w:ascii="宋体" w:hAnsi="宋体" w:cs="宋体"/>
          <w:snapToGrid w:val="0"/>
          <w:kern w:val="0"/>
          <w:sz w:val="24"/>
          <w:szCs w:val="24"/>
        </w:rPr>
        <w:t>电　话：</w:t>
      </w:r>
      <w:r>
        <w:rPr>
          <w:rFonts w:hint="eastAsia" w:ascii="宋体" w:hAnsi="宋体"/>
          <w:sz w:val="24"/>
          <w:szCs w:val="24"/>
        </w:rPr>
        <w:t>13640562698</w:t>
      </w:r>
    </w:p>
    <w:p>
      <w:pPr>
        <w:tabs>
          <w:tab w:val="left" w:pos="540"/>
          <w:tab w:val="left" w:pos="1080"/>
          <w:tab w:val="left" w:pos="1155"/>
        </w:tabs>
        <w:spacing w:line="500" w:lineRule="exact"/>
        <w:ind w:firstLine="480" w:firstLineChars="200"/>
        <w:rPr>
          <w:rFonts w:ascii="宋体" w:cs="仿宋"/>
          <w:snapToGrid w:val="0"/>
          <w:kern w:val="0"/>
          <w:sz w:val="24"/>
          <w:szCs w:val="24"/>
        </w:rPr>
      </w:pPr>
    </w:p>
    <w:p>
      <w:pPr>
        <w:autoSpaceDE w:val="0"/>
        <w:autoSpaceDN w:val="0"/>
        <w:adjustRightInd w:val="0"/>
        <w:snapToGrid w:val="0"/>
        <w:spacing w:line="500" w:lineRule="exact"/>
        <w:ind w:firstLine="480" w:firstLineChars="200"/>
        <w:jc w:val="left"/>
        <w:rPr>
          <w:rFonts w:hint="eastAsia" w:ascii="宋体" w:hAnsi="宋体" w:eastAsia="宋体" w:cs="宋体"/>
          <w:snapToGrid w:val="0"/>
          <w:kern w:val="0"/>
          <w:sz w:val="24"/>
          <w:szCs w:val="24"/>
          <w:lang w:eastAsia="zh-CN"/>
        </w:rPr>
      </w:pPr>
      <w:r>
        <w:rPr>
          <w:rFonts w:hint="eastAsia" w:ascii="宋体" w:hAnsi="宋体" w:cs="宋体"/>
          <w:snapToGrid w:val="0"/>
          <w:kern w:val="0"/>
          <w:sz w:val="24"/>
          <w:szCs w:val="24"/>
        </w:rPr>
        <w:t>比选代理机构：</w:t>
      </w:r>
      <w:r>
        <w:rPr>
          <w:rFonts w:hint="eastAsia" w:ascii="宋体" w:hAnsi="宋体" w:cs="宋体"/>
          <w:snapToGrid w:val="0"/>
          <w:kern w:val="0"/>
          <w:sz w:val="24"/>
          <w:szCs w:val="24"/>
          <w:lang w:eastAsia="zh-CN"/>
        </w:rPr>
        <w:t>凌辉建设工程咨询有限公司</w:t>
      </w:r>
    </w:p>
    <w:p>
      <w:pPr>
        <w:autoSpaceDE w:val="0"/>
        <w:autoSpaceDN w:val="0"/>
        <w:adjustRightInd w:val="0"/>
        <w:snapToGrid w:val="0"/>
        <w:spacing w:line="500" w:lineRule="exact"/>
        <w:ind w:firstLine="480" w:firstLineChars="200"/>
        <w:jc w:val="left"/>
        <w:rPr>
          <w:rFonts w:ascii="宋体" w:hAnsi="宋体" w:cs="宋体"/>
          <w:snapToGrid w:val="0"/>
          <w:kern w:val="0"/>
          <w:sz w:val="24"/>
          <w:szCs w:val="24"/>
        </w:rPr>
      </w:pPr>
      <w:r>
        <w:rPr>
          <w:rFonts w:hint="eastAsia" w:ascii="宋体" w:hAnsi="宋体" w:cs="宋体"/>
          <w:snapToGrid w:val="0"/>
          <w:kern w:val="0"/>
          <w:sz w:val="24"/>
          <w:szCs w:val="24"/>
        </w:rPr>
        <w:t>地  址：重庆市</w:t>
      </w:r>
      <w:r>
        <w:rPr>
          <w:rFonts w:hint="eastAsia" w:ascii="宋体" w:hAnsi="宋体" w:cs="宋体"/>
          <w:snapToGrid w:val="0"/>
          <w:kern w:val="0"/>
          <w:sz w:val="24"/>
          <w:szCs w:val="24"/>
          <w:lang w:eastAsia="zh-CN"/>
        </w:rPr>
        <w:t>渝中区长江一路</w:t>
      </w:r>
      <w:r>
        <w:rPr>
          <w:rFonts w:hint="eastAsia" w:ascii="宋体" w:hAnsi="宋体" w:cs="宋体"/>
          <w:snapToGrid w:val="0"/>
          <w:kern w:val="0"/>
          <w:sz w:val="24"/>
          <w:szCs w:val="24"/>
          <w:lang w:val="en-US" w:eastAsia="zh-CN"/>
        </w:rPr>
        <w:t>62号17-2、17-2、17-3、17-4</w:t>
      </w:r>
      <w:r>
        <w:rPr>
          <w:rFonts w:hint="eastAsia" w:ascii="宋体" w:hAnsi="宋体" w:cs="宋体"/>
          <w:snapToGrid w:val="0"/>
          <w:kern w:val="0"/>
          <w:sz w:val="24"/>
          <w:szCs w:val="24"/>
        </w:rPr>
        <w:t xml:space="preserve">                          </w:t>
      </w:r>
      <w:r>
        <w:rPr>
          <w:rFonts w:hint="eastAsia" w:ascii="宋体" w:hAnsi="宋体" w:cs="宋体"/>
          <w:snapToGrid w:val="0"/>
          <w:kern w:val="0"/>
          <w:sz w:val="24"/>
          <w:szCs w:val="24"/>
          <w:lang w:val="zh-CN"/>
        </w:rPr>
        <w:t xml:space="preserve"> </w:t>
      </w:r>
    </w:p>
    <w:p>
      <w:pPr>
        <w:autoSpaceDE w:val="0"/>
        <w:autoSpaceDN w:val="0"/>
        <w:adjustRightInd w:val="0"/>
        <w:snapToGrid w:val="0"/>
        <w:spacing w:line="500" w:lineRule="exact"/>
        <w:ind w:firstLine="480" w:firstLineChars="200"/>
        <w:jc w:val="left"/>
        <w:rPr>
          <w:rFonts w:ascii="宋体" w:hAnsi="宋体" w:cs="宋体"/>
          <w:snapToGrid w:val="0"/>
          <w:kern w:val="0"/>
          <w:sz w:val="24"/>
          <w:szCs w:val="24"/>
        </w:rPr>
      </w:pPr>
      <w:r>
        <w:rPr>
          <w:rFonts w:hint="eastAsia" w:ascii="宋体" w:hAnsi="宋体" w:cs="宋体"/>
          <w:snapToGrid w:val="0"/>
          <w:kern w:val="0"/>
          <w:sz w:val="24"/>
          <w:szCs w:val="24"/>
        </w:rPr>
        <w:t>联系人：杨老师</w:t>
      </w:r>
    </w:p>
    <w:p>
      <w:pPr>
        <w:autoSpaceDE w:val="0"/>
        <w:autoSpaceDN w:val="0"/>
        <w:adjustRightInd w:val="0"/>
        <w:snapToGrid w:val="0"/>
        <w:spacing w:line="500" w:lineRule="exact"/>
        <w:ind w:firstLine="480" w:firstLineChars="200"/>
        <w:jc w:val="left"/>
        <w:rPr>
          <w:rFonts w:ascii="宋体" w:hAnsi="宋体" w:cs="宋体"/>
          <w:snapToGrid w:val="0"/>
          <w:kern w:val="0"/>
          <w:sz w:val="24"/>
          <w:szCs w:val="24"/>
        </w:rPr>
      </w:pPr>
      <w:r>
        <w:rPr>
          <w:rFonts w:hint="eastAsia" w:ascii="宋体" w:hAnsi="宋体" w:cs="宋体"/>
          <w:snapToGrid w:val="0"/>
          <w:kern w:val="0"/>
          <w:sz w:val="24"/>
          <w:szCs w:val="24"/>
        </w:rPr>
        <w:t>电  话：15823941979</w:t>
      </w:r>
    </w:p>
    <w:p>
      <w:pPr>
        <w:spacing w:line="360" w:lineRule="auto"/>
        <w:rPr>
          <w:rFonts w:ascii="宋体" w:cs="仿宋"/>
          <w:snapToGrid w:val="0"/>
          <w:kern w:val="0"/>
          <w:szCs w:val="21"/>
        </w:rPr>
      </w:pPr>
      <w:r>
        <w:rPr>
          <w:rFonts w:ascii="宋体" w:cs="仿宋"/>
          <w:snapToGrid w:val="0"/>
          <w:kern w:val="0"/>
          <w:szCs w:val="21"/>
        </w:rPr>
        <w:t xml:space="preserve">                  </w:t>
      </w:r>
    </w:p>
    <w:p>
      <w:pPr>
        <w:autoSpaceDE w:val="0"/>
        <w:autoSpaceDN w:val="0"/>
        <w:adjustRightInd w:val="0"/>
        <w:snapToGrid w:val="0"/>
        <w:spacing w:line="500" w:lineRule="exact"/>
        <w:ind w:firstLine="6000" w:firstLineChars="2500"/>
        <w:jc w:val="left"/>
        <w:rPr>
          <w:rFonts w:ascii="宋体" w:hAnsi="宋体" w:cs="宋体"/>
          <w:snapToGrid w:val="0"/>
          <w:kern w:val="0"/>
          <w:sz w:val="24"/>
          <w:szCs w:val="24"/>
        </w:rPr>
      </w:pPr>
      <w:bookmarkStart w:id="54" w:name="_Toc413400124"/>
      <w:bookmarkStart w:id="55" w:name="_Toc413397107"/>
      <w:bookmarkStart w:id="56" w:name="_Toc422296394"/>
      <w:r>
        <w:rPr>
          <w:rFonts w:hint="eastAsia" w:ascii="宋体" w:hAnsi="宋体" w:cs="宋体"/>
          <w:snapToGrid w:val="0"/>
          <w:kern w:val="0"/>
          <w:sz w:val="24"/>
          <w:szCs w:val="24"/>
        </w:rPr>
        <w:t>2021 年</w:t>
      </w:r>
      <w:r>
        <w:rPr>
          <w:rFonts w:hint="eastAsia" w:ascii="宋体" w:hAnsi="宋体" w:cs="宋体"/>
          <w:snapToGrid w:val="0"/>
          <w:kern w:val="0"/>
          <w:sz w:val="24"/>
          <w:szCs w:val="24"/>
          <w:lang w:val="en-US" w:eastAsia="zh-CN"/>
        </w:rPr>
        <w:t>4</w:t>
      </w:r>
      <w:r>
        <w:rPr>
          <w:rFonts w:hint="eastAsia" w:ascii="宋体" w:hAnsi="宋体" w:cs="宋体"/>
          <w:snapToGrid w:val="0"/>
          <w:kern w:val="0"/>
          <w:sz w:val="24"/>
          <w:szCs w:val="24"/>
        </w:rPr>
        <w:t>月</w:t>
      </w:r>
      <w:r>
        <w:rPr>
          <w:rFonts w:hint="eastAsia" w:ascii="宋体" w:hAnsi="宋体" w:cs="宋体"/>
          <w:snapToGrid w:val="0"/>
          <w:kern w:val="0"/>
          <w:sz w:val="24"/>
          <w:szCs w:val="24"/>
          <w:lang w:val="en-US" w:eastAsia="zh-CN"/>
        </w:rPr>
        <w:t>25</w:t>
      </w:r>
      <w:r>
        <w:rPr>
          <w:rFonts w:hint="eastAsia" w:ascii="宋体" w:hAnsi="宋体" w:cs="宋体"/>
          <w:snapToGrid w:val="0"/>
          <w:kern w:val="0"/>
          <w:sz w:val="24"/>
          <w:szCs w:val="24"/>
        </w:rPr>
        <w:t>日</w:t>
      </w:r>
    </w:p>
    <w:p>
      <w:pPr>
        <w:autoSpaceDE w:val="0"/>
        <w:autoSpaceDN w:val="0"/>
        <w:adjustRightInd w:val="0"/>
        <w:snapToGrid w:val="0"/>
        <w:spacing w:line="500" w:lineRule="exact"/>
        <w:ind w:firstLine="480" w:firstLineChars="200"/>
        <w:jc w:val="left"/>
        <w:rPr>
          <w:rFonts w:ascii="宋体" w:cs="仿宋"/>
          <w:bCs/>
          <w:kern w:val="0"/>
          <w:sz w:val="32"/>
          <w:szCs w:val="44"/>
        </w:rPr>
      </w:pPr>
      <w:r>
        <w:rPr>
          <w:rFonts w:hint="eastAsia" w:ascii="宋体" w:hAnsi="宋体" w:cs="宋体"/>
          <w:snapToGrid w:val="0"/>
          <w:kern w:val="0"/>
          <w:sz w:val="24"/>
          <w:szCs w:val="24"/>
        </w:rPr>
        <w:br w:type="page"/>
      </w:r>
      <w:bookmarkStart w:id="57" w:name="_Toc9703"/>
      <w:r>
        <w:rPr>
          <w:rFonts w:hint="eastAsia" w:ascii="宋体" w:hAnsi="宋体" w:cs="宋体"/>
          <w:snapToGrid w:val="0"/>
          <w:kern w:val="0"/>
          <w:sz w:val="24"/>
          <w:szCs w:val="24"/>
        </w:rPr>
        <w:t xml:space="preserve">               </w:t>
      </w:r>
      <w:r>
        <w:rPr>
          <w:rFonts w:hint="eastAsia" w:ascii="宋体" w:cs="仿宋"/>
          <w:b/>
          <w:bCs/>
          <w:kern w:val="0"/>
          <w:sz w:val="36"/>
          <w:szCs w:val="36"/>
        </w:rPr>
        <w:t>第二章</w:t>
      </w:r>
      <w:r>
        <w:rPr>
          <w:rFonts w:ascii="宋体" w:cs="仿宋"/>
          <w:b/>
          <w:bCs/>
          <w:kern w:val="0"/>
          <w:sz w:val="36"/>
          <w:szCs w:val="36"/>
        </w:rPr>
        <w:t xml:space="preserve">    </w:t>
      </w:r>
      <w:r>
        <w:rPr>
          <w:rFonts w:hint="eastAsia" w:ascii="宋体" w:cs="仿宋"/>
          <w:b/>
          <w:bCs/>
          <w:kern w:val="0"/>
          <w:sz w:val="36"/>
          <w:szCs w:val="36"/>
        </w:rPr>
        <w:t>投标人须知</w:t>
      </w:r>
      <w:bookmarkEnd w:id="15"/>
      <w:bookmarkEnd w:id="16"/>
      <w:bookmarkEnd w:id="17"/>
      <w:bookmarkEnd w:id="54"/>
      <w:bookmarkEnd w:id="55"/>
      <w:bookmarkEnd w:id="56"/>
      <w:bookmarkEnd w:id="57"/>
      <w:bookmarkStart w:id="58" w:name="_Toc298010249"/>
      <w:bookmarkStart w:id="59" w:name="_Toc322559583"/>
    </w:p>
    <w:p>
      <w:pPr>
        <w:pStyle w:val="5"/>
        <w:spacing w:after="120"/>
        <w:rPr>
          <w:rFonts w:ascii="宋体" w:eastAsia="宋体" w:cs="仿宋"/>
          <w:snapToGrid w:val="0"/>
          <w:sz w:val="28"/>
          <w:szCs w:val="28"/>
        </w:rPr>
      </w:pPr>
      <w:bookmarkStart w:id="60" w:name="_Toc5954"/>
      <w:bookmarkStart w:id="61" w:name="_Toc22915"/>
      <w:bookmarkStart w:id="62" w:name="_Toc325910555"/>
      <w:r>
        <w:rPr>
          <w:rFonts w:hint="eastAsia" w:ascii="宋体" w:eastAsia="宋体" w:cs="仿宋"/>
          <w:snapToGrid w:val="0"/>
          <w:sz w:val="28"/>
          <w:szCs w:val="28"/>
        </w:rPr>
        <w:t>投标人须知前附表</w:t>
      </w:r>
      <w:bookmarkEnd w:id="58"/>
      <w:bookmarkEnd w:id="59"/>
      <w:bookmarkEnd w:id="60"/>
      <w:bookmarkEnd w:id="61"/>
      <w:bookmarkEnd w:id="62"/>
    </w:p>
    <w:tbl>
      <w:tblPr>
        <w:tblStyle w:val="54"/>
        <w:tblW w:w="9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1664"/>
        <w:gridCol w:w="15"/>
        <w:gridCol w:w="6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blHeader/>
        </w:trPr>
        <w:tc>
          <w:tcPr>
            <w:tcW w:w="1278" w:type="dxa"/>
            <w:vAlign w:val="center"/>
          </w:tcPr>
          <w:p>
            <w:pPr>
              <w:snapToGrid w:val="0"/>
              <w:spacing w:line="300" w:lineRule="auto"/>
              <w:jc w:val="center"/>
              <w:rPr>
                <w:rFonts w:ascii="宋体" w:cs="仿宋"/>
                <w:b/>
                <w:kern w:val="0"/>
                <w:szCs w:val="21"/>
              </w:rPr>
            </w:pPr>
            <w:r>
              <w:rPr>
                <w:rFonts w:hint="eastAsia" w:ascii="宋体" w:cs="仿宋"/>
                <w:b/>
                <w:kern w:val="0"/>
                <w:szCs w:val="21"/>
              </w:rPr>
              <w:t>条</w:t>
            </w:r>
            <w:r>
              <w:rPr>
                <w:rFonts w:ascii="宋体" w:cs="仿宋"/>
                <w:b/>
                <w:kern w:val="0"/>
                <w:szCs w:val="21"/>
              </w:rPr>
              <w:t xml:space="preserve"> </w:t>
            </w:r>
            <w:r>
              <w:rPr>
                <w:rFonts w:hint="eastAsia" w:ascii="宋体" w:cs="仿宋"/>
                <w:b/>
                <w:kern w:val="0"/>
                <w:szCs w:val="21"/>
              </w:rPr>
              <w:t>款</w:t>
            </w:r>
            <w:r>
              <w:rPr>
                <w:rFonts w:ascii="宋体" w:cs="仿宋"/>
                <w:b/>
                <w:kern w:val="0"/>
                <w:szCs w:val="21"/>
              </w:rPr>
              <w:t xml:space="preserve"> </w:t>
            </w:r>
            <w:r>
              <w:rPr>
                <w:rFonts w:hint="eastAsia" w:ascii="宋体" w:cs="仿宋"/>
                <w:b/>
                <w:kern w:val="0"/>
                <w:szCs w:val="21"/>
              </w:rPr>
              <w:t>号</w:t>
            </w:r>
          </w:p>
        </w:tc>
        <w:tc>
          <w:tcPr>
            <w:tcW w:w="1664" w:type="dxa"/>
            <w:vAlign w:val="center"/>
          </w:tcPr>
          <w:p>
            <w:pPr>
              <w:snapToGrid w:val="0"/>
              <w:spacing w:line="300" w:lineRule="auto"/>
              <w:jc w:val="center"/>
              <w:rPr>
                <w:rFonts w:ascii="宋体" w:cs="仿宋"/>
                <w:b/>
                <w:kern w:val="0"/>
                <w:szCs w:val="21"/>
              </w:rPr>
            </w:pPr>
            <w:r>
              <w:rPr>
                <w:rFonts w:hint="eastAsia" w:ascii="宋体" w:cs="仿宋"/>
                <w:b/>
                <w:kern w:val="0"/>
                <w:szCs w:val="21"/>
              </w:rPr>
              <w:t>条款名称</w:t>
            </w:r>
          </w:p>
        </w:tc>
        <w:tc>
          <w:tcPr>
            <w:tcW w:w="6948" w:type="dxa"/>
            <w:gridSpan w:val="2"/>
            <w:vAlign w:val="center"/>
          </w:tcPr>
          <w:p>
            <w:pPr>
              <w:snapToGrid w:val="0"/>
              <w:spacing w:line="300" w:lineRule="auto"/>
              <w:jc w:val="center"/>
              <w:rPr>
                <w:rFonts w:ascii="宋体" w:cs="仿宋"/>
                <w:b/>
                <w:kern w:val="0"/>
                <w:szCs w:val="21"/>
              </w:rPr>
            </w:pPr>
            <w:r>
              <w:rPr>
                <w:rFonts w:hint="eastAsia" w:ascii="宋体" w:cs="仿宋"/>
                <w:b/>
                <w:kern w:val="0"/>
                <w:szCs w:val="21"/>
              </w:rPr>
              <w:t>编</w:t>
            </w:r>
            <w:r>
              <w:rPr>
                <w:rFonts w:ascii="宋体" w:cs="仿宋"/>
                <w:b/>
                <w:kern w:val="0"/>
                <w:szCs w:val="21"/>
              </w:rPr>
              <w:t xml:space="preserve">  </w:t>
            </w:r>
            <w:r>
              <w:rPr>
                <w:rFonts w:hint="eastAsia" w:ascii="宋体" w:cs="仿宋"/>
                <w:b/>
                <w:kern w:val="0"/>
                <w:szCs w:val="21"/>
              </w:rPr>
              <w:t>列</w:t>
            </w:r>
            <w:r>
              <w:rPr>
                <w:rFonts w:ascii="宋体" w:cs="仿宋"/>
                <w:b/>
                <w:kern w:val="0"/>
                <w:szCs w:val="21"/>
              </w:rPr>
              <w:t xml:space="preserve">  </w:t>
            </w:r>
            <w:r>
              <w:rPr>
                <w:rFonts w:hint="eastAsia" w:ascii="宋体" w:cs="仿宋"/>
                <w:b/>
                <w:kern w:val="0"/>
                <w:szCs w:val="21"/>
              </w:rPr>
              <w:t>内</w:t>
            </w:r>
            <w:r>
              <w:rPr>
                <w:rFonts w:ascii="宋体" w:cs="仿宋"/>
                <w:b/>
                <w:kern w:val="0"/>
                <w:szCs w:val="21"/>
              </w:rPr>
              <w:t xml:space="preserve">  </w:t>
            </w:r>
            <w:r>
              <w:rPr>
                <w:rFonts w:hint="eastAsia" w:ascii="宋体" w:cs="仿宋"/>
                <w:b/>
                <w:kern w:val="0"/>
                <w:szCs w:val="21"/>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278"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1.1.2</w:t>
            </w:r>
          </w:p>
        </w:tc>
        <w:tc>
          <w:tcPr>
            <w:tcW w:w="1664" w:type="dxa"/>
            <w:vAlign w:val="center"/>
          </w:tcPr>
          <w:p>
            <w:pPr>
              <w:snapToGrid w:val="0"/>
              <w:spacing w:line="300" w:lineRule="auto"/>
              <w:jc w:val="center"/>
              <w:rPr>
                <w:rFonts w:ascii="宋体" w:cs="仿宋"/>
                <w:kern w:val="0"/>
                <w:szCs w:val="21"/>
              </w:rPr>
            </w:pPr>
            <w:r>
              <w:rPr>
                <w:rFonts w:hint="eastAsia" w:ascii="宋体" w:hAnsi="宋体" w:cs="宋体"/>
                <w:snapToGrid w:val="0"/>
                <w:kern w:val="0"/>
                <w:szCs w:val="21"/>
              </w:rPr>
              <w:t>比选</w:t>
            </w:r>
            <w:r>
              <w:rPr>
                <w:rFonts w:hint="eastAsia" w:ascii="宋体" w:cs="仿宋"/>
                <w:kern w:val="0"/>
                <w:szCs w:val="21"/>
              </w:rPr>
              <w:t>人</w:t>
            </w:r>
          </w:p>
        </w:tc>
        <w:tc>
          <w:tcPr>
            <w:tcW w:w="6948" w:type="dxa"/>
            <w:gridSpan w:val="2"/>
            <w:vAlign w:val="center"/>
          </w:tcPr>
          <w:p>
            <w:pPr>
              <w:autoSpaceDE w:val="0"/>
              <w:autoSpaceDN w:val="0"/>
              <w:adjustRightInd w:val="0"/>
              <w:snapToGrid w:val="0"/>
              <w:spacing w:line="400" w:lineRule="exact"/>
              <w:ind w:firstLine="210" w:firstLineChars="100"/>
              <w:jc w:val="left"/>
              <w:rPr>
                <w:rFonts w:ascii="宋体" w:hAnsi="宋体" w:cs="宋体"/>
                <w:snapToGrid w:val="0"/>
                <w:kern w:val="0"/>
                <w:szCs w:val="21"/>
              </w:rPr>
            </w:pPr>
            <w:r>
              <w:rPr>
                <w:rFonts w:hint="eastAsia" w:ascii="宋体" w:hAnsi="宋体" w:cs="宋体"/>
                <w:snapToGrid w:val="0"/>
                <w:kern w:val="0"/>
                <w:szCs w:val="21"/>
              </w:rPr>
              <w:t xml:space="preserve">比选人：重庆铜梁高新技术产业开发区管委会   </w:t>
            </w:r>
          </w:p>
          <w:p>
            <w:pPr>
              <w:autoSpaceDE w:val="0"/>
              <w:autoSpaceDN w:val="0"/>
              <w:adjustRightInd w:val="0"/>
              <w:snapToGrid w:val="0"/>
              <w:spacing w:line="400" w:lineRule="exact"/>
              <w:ind w:firstLine="210" w:firstLineChars="100"/>
              <w:jc w:val="left"/>
              <w:rPr>
                <w:rFonts w:ascii="宋体" w:hAnsi="宋体" w:cs="宋体"/>
                <w:snapToGrid w:val="0"/>
                <w:kern w:val="0"/>
                <w:szCs w:val="21"/>
              </w:rPr>
            </w:pPr>
            <w:r>
              <w:rPr>
                <w:rFonts w:hint="eastAsia" w:ascii="宋体" w:hAnsi="宋体" w:cs="宋体"/>
                <w:snapToGrid w:val="0"/>
                <w:kern w:val="0"/>
                <w:szCs w:val="21"/>
              </w:rPr>
              <w:t>地　址：铜梁区龙安大道24号</w:t>
            </w:r>
          </w:p>
          <w:p>
            <w:pPr>
              <w:autoSpaceDE w:val="0"/>
              <w:autoSpaceDN w:val="0"/>
              <w:adjustRightInd w:val="0"/>
              <w:snapToGrid w:val="0"/>
              <w:spacing w:line="400" w:lineRule="exact"/>
              <w:ind w:firstLine="210" w:firstLineChars="100"/>
              <w:jc w:val="left"/>
              <w:rPr>
                <w:rFonts w:ascii="宋体" w:hAnsi="宋体" w:cs="宋体"/>
                <w:snapToGrid w:val="0"/>
                <w:kern w:val="0"/>
                <w:szCs w:val="21"/>
              </w:rPr>
            </w:pPr>
            <w:r>
              <w:rPr>
                <w:rFonts w:hint="eastAsia" w:ascii="宋体" w:hAnsi="宋体" w:cs="宋体"/>
                <w:snapToGrid w:val="0"/>
                <w:kern w:val="0"/>
                <w:szCs w:val="21"/>
              </w:rPr>
              <w:t>联系人：肖老师</w:t>
            </w:r>
          </w:p>
          <w:p>
            <w:pPr>
              <w:autoSpaceDE w:val="0"/>
              <w:autoSpaceDN w:val="0"/>
              <w:adjustRightInd w:val="0"/>
              <w:snapToGrid w:val="0"/>
              <w:spacing w:line="400" w:lineRule="exact"/>
              <w:ind w:firstLine="210" w:firstLineChars="100"/>
              <w:jc w:val="left"/>
              <w:rPr>
                <w:rFonts w:ascii="宋体" w:cs="仿宋"/>
                <w:snapToGrid w:val="0"/>
              </w:rPr>
            </w:pPr>
            <w:r>
              <w:rPr>
                <w:rFonts w:hint="eastAsia" w:ascii="宋体" w:hAnsi="宋体" w:cs="宋体"/>
                <w:snapToGrid w:val="0"/>
                <w:kern w:val="0"/>
                <w:szCs w:val="21"/>
              </w:rPr>
              <w:t>电　话：13640562698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278"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1.1.3</w:t>
            </w:r>
          </w:p>
        </w:tc>
        <w:tc>
          <w:tcPr>
            <w:tcW w:w="1664" w:type="dxa"/>
            <w:vAlign w:val="center"/>
          </w:tcPr>
          <w:p>
            <w:pPr>
              <w:snapToGrid w:val="0"/>
              <w:spacing w:line="300" w:lineRule="auto"/>
              <w:jc w:val="center"/>
              <w:rPr>
                <w:rFonts w:ascii="宋体" w:cs="仿宋"/>
                <w:kern w:val="0"/>
                <w:szCs w:val="21"/>
              </w:rPr>
            </w:pPr>
            <w:r>
              <w:rPr>
                <w:rFonts w:hint="eastAsia" w:ascii="宋体" w:hAnsi="宋体" w:cs="宋体"/>
                <w:snapToGrid w:val="0"/>
                <w:kern w:val="0"/>
                <w:szCs w:val="21"/>
              </w:rPr>
              <w:t>比选</w:t>
            </w:r>
            <w:r>
              <w:rPr>
                <w:rFonts w:hint="eastAsia" w:ascii="宋体" w:cs="仿宋"/>
                <w:kern w:val="0"/>
                <w:szCs w:val="21"/>
              </w:rPr>
              <w:t>代理机构</w:t>
            </w:r>
          </w:p>
        </w:tc>
        <w:tc>
          <w:tcPr>
            <w:tcW w:w="6948" w:type="dxa"/>
            <w:gridSpan w:val="2"/>
            <w:vAlign w:val="center"/>
          </w:tcPr>
          <w:p>
            <w:pPr>
              <w:autoSpaceDE w:val="0"/>
              <w:autoSpaceDN w:val="0"/>
              <w:adjustRightInd w:val="0"/>
              <w:snapToGrid w:val="0"/>
              <w:spacing w:line="400" w:lineRule="exact"/>
              <w:ind w:firstLine="210" w:firstLineChars="100"/>
              <w:jc w:val="left"/>
              <w:rPr>
                <w:rFonts w:hint="eastAsia" w:ascii="宋体" w:hAnsi="宋体" w:eastAsia="宋体" w:cs="宋体"/>
                <w:snapToGrid w:val="0"/>
                <w:kern w:val="0"/>
                <w:szCs w:val="21"/>
                <w:lang w:eastAsia="zh-CN"/>
              </w:rPr>
            </w:pPr>
            <w:r>
              <w:rPr>
                <w:rFonts w:hint="eastAsia" w:ascii="宋体" w:hAnsi="宋体" w:cs="宋体"/>
                <w:snapToGrid w:val="0"/>
                <w:kern w:val="0"/>
                <w:szCs w:val="21"/>
              </w:rPr>
              <w:t>比选代理机构：</w:t>
            </w:r>
            <w:r>
              <w:rPr>
                <w:rFonts w:hint="eastAsia" w:ascii="宋体" w:hAnsi="宋体" w:cs="宋体"/>
                <w:snapToGrid w:val="0"/>
                <w:kern w:val="0"/>
                <w:szCs w:val="21"/>
                <w:lang w:eastAsia="zh-CN"/>
              </w:rPr>
              <w:t>凌辉建设工程咨询有限公司</w:t>
            </w:r>
          </w:p>
          <w:p>
            <w:pPr>
              <w:autoSpaceDE w:val="0"/>
              <w:autoSpaceDN w:val="0"/>
              <w:adjustRightInd w:val="0"/>
              <w:snapToGrid w:val="0"/>
              <w:spacing w:line="400" w:lineRule="exact"/>
              <w:ind w:firstLine="210" w:firstLineChars="100"/>
              <w:jc w:val="left"/>
              <w:rPr>
                <w:rFonts w:ascii="宋体" w:hAnsi="宋体" w:cs="宋体"/>
                <w:snapToGrid w:val="0"/>
                <w:kern w:val="0"/>
                <w:szCs w:val="21"/>
              </w:rPr>
            </w:pPr>
            <w:r>
              <w:rPr>
                <w:rFonts w:hint="eastAsia" w:ascii="宋体" w:hAnsi="宋体" w:cs="宋体"/>
                <w:snapToGrid w:val="0"/>
                <w:kern w:val="0"/>
                <w:szCs w:val="21"/>
              </w:rPr>
              <w:t>地  址</w:t>
            </w:r>
            <w:r>
              <w:rPr>
                <w:rFonts w:hint="eastAsia" w:ascii="宋体" w:hAnsi="宋体" w:cs="宋体"/>
                <w:snapToGrid w:val="0"/>
                <w:kern w:val="0"/>
                <w:szCs w:val="21"/>
                <w:lang w:eastAsia="zh-CN"/>
              </w:rPr>
              <w:t>：重庆市渝中区长江一路</w:t>
            </w:r>
            <w:r>
              <w:rPr>
                <w:rFonts w:hint="eastAsia" w:ascii="宋体" w:hAnsi="宋体" w:cs="宋体"/>
                <w:snapToGrid w:val="0"/>
                <w:kern w:val="0"/>
                <w:szCs w:val="21"/>
                <w:lang w:val="en-US" w:eastAsia="zh-CN"/>
              </w:rPr>
              <w:t>62号17-2、17-2、17-3、17-4</w:t>
            </w:r>
            <w:r>
              <w:rPr>
                <w:rFonts w:hint="eastAsia" w:ascii="宋体" w:hAnsi="宋体" w:cs="宋体"/>
                <w:snapToGrid w:val="0"/>
                <w:kern w:val="0"/>
                <w:szCs w:val="21"/>
                <w:lang w:eastAsia="zh-CN"/>
              </w:rPr>
              <w:t xml:space="preserve"> </w:t>
            </w:r>
            <w:r>
              <w:rPr>
                <w:rFonts w:hint="eastAsia" w:ascii="宋体" w:hAnsi="宋体" w:cs="宋体"/>
                <w:snapToGrid w:val="0"/>
                <w:kern w:val="0"/>
                <w:szCs w:val="21"/>
              </w:rPr>
              <w:t xml:space="preserve">                         </w:t>
            </w:r>
            <w:r>
              <w:rPr>
                <w:rFonts w:hint="eastAsia" w:ascii="宋体" w:hAnsi="宋体" w:cs="宋体"/>
                <w:snapToGrid w:val="0"/>
                <w:kern w:val="0"/>
                <w:szCs w:val="21"/>
                <w:lang w:val="zh-CN"/>
              </w:rPr>
              <w:t xml:space="preserve"> </w:t>
            </w:r>
          </w:p>
          <w:p>
            <w:pPr>
              <w:autoSpaceDE w:val="0"/>
              <w:autoSpaceDN w:val="0"/>
              <w:adjustRightInd w:val="0"/>
              <w:snapToGrid w:val="0"/>
              <w:spacing w:line="400" w:lineRule="exact"/>
              <w:ind w:firstLine="210" w:firstLineChars="100"/>
              <w:jc w:val="left"/>
              <w:rPr>
                <w:rFonts w:ascii="宋体" w:hAnsi="宋体" w:cs="宋体"/>
                <w:snapToGrid w:val="0"/>
                <w:kern w:val="0"/>
                <w:szCs w:val="21"/>
              </w:rPr>
            </w:pPr>
            <w:r>
              <w:rPr>
                <w:rFonts w:hint="eastAsia" w:ascii="宋体" w:hAnsi="宋体" w:cs="宋体"/>
                <w:snapToGrid w:val="0"/>
                <w:kern w:val="0"/>
                <w:szCs w:val="21"/>
              </w:rPr>
              <w:t>联系人：杨老师</w:t>
            </w:r>
          </w:p>
          <w:p>
            <w:pPr>
              <w:autoSpaceDE w:val="0"/>
              <w:autoSpaceDN w:val="0"/>
              <w:adjustRightInd w:val="0"/>
              <w:snapToGrid w:val="0"/>
              <w:spacing w:line="400" w:lineRule="exact"/>
              <w:ind w:firstLine="210" w:firstLineChars="100"/>
              <w:jc w:val="left"/>
              <w:rPr>
                <w:rFonts w:ascii="宋体" w:cs="仿宋"/>
                <w:kern w:val="0"/>
                <w:szCs w:val="21"/>
              </w:rPr>
            </w:pPr>
            <w:r>
              <w:rPr>
                <w:rFonts w:hint="eastAsia" w:ascii="宋体" w:hAnsi="宋体" w:cs="宋体"/>
                <w:snapToGrid w:val="0"/>
                <w:kern w:val="0"/>
                <w:szCs w:val="21"/>
              </w:rPr>
              <w:t>电  话：15823941979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78"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1.1.4</w:t>
            </w:r>
          </w:p>
        </w:tc>
        <w:tc>
          <w:tcPr>
            <w:tcW w:w="1664"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项目名称</w:t>
            </w:r>
          </w:p>
        </w:tc>
        <w:tc>
          <w:tcPr>
            <w:tcW w:w="6948" w:type="dxa"/>
            <w:gridSpan w:val="2"/>
            <w:vAlign w:val="center"/>
          </w:tcPr>
          <w:p>
            <w:pPr>
              <w:tabs>
                <w:tab w:val="left" w:pos="540"/>
                <w:tab w:val="left" w:pos="1080"/>
                <w:tab w:val="left" w:pos="1155"/>
              </w:tabs>
              <w:spacing w:line="400" w:lineRule="exact"/>
              <w:ind w:firstLine="210" w:firstLineChars="100"/>
              <w:rPr>
                <w:rFonts w:ascii="宋体" w:cs="仿宋"/>
                <w:kern w:val="0"/>
                <w:szCs w:val="21"/>
              </w:rPr>
            </w:pPr>
            <w:r>
              <w:rPr>
                <w:rFonts w:hint="eastAsia" w:ascii="宋体" w:hAnsi="宋体" w:cs="宋体"/>
                <w:snapToGrid w:val="0"/>
                <w:kern w:val="0"/>
                <w:szCs w:val="21"/>
                <w:lang w:val="zh-CN"/>
              </w:rPr>
              <w:t>工人新村新建停车场工程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278"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1.1.5</w:t>
            </w:r>
          </w:p>
        </w:tc>
        <w:tc>
          <w:tcPr>
            <w:tcW w:w="1664"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建设地点</w:t>
            </w:r>
          </w:p>
        </w:tc>
        <w:tc>
          <w:tcPr>
            <w:tcW w:w="6948" w:type="dxa"/>
            <w:gridSpan w:val="2"/>
            <w:vAlign w:val="center"/>
          </w:tcPr>
          <w:p>
            <w:pPr>
              <w:tabs>
                <w:tab w:val="left" w:pos="540"/>
                <w:tab w:val="left" w:pos="1080"/>
                <w:tab w:val="left" w:pos="1155"/>
              </w:tabs>
              <w:spacing w:line="400" w:lineRule="exact"/>
              <w:ind w:firstLine="210" w:firstLineChars="100"/>
              <w:rPr>
                <w:rFonts w:ascii="宋体" w:cs="仿宋"/>
                <w:kern w:val="0"/>
                <w:szCs w:val="21"/>
              </w:rPr>
            </w:pPr>
            <w:r>
              <w:rPr>
                <w:rFonts w:hint="eastAsia" w:ascii="宋体" w:hAnsi="宋体"/>
                <w:szCs w:val="21"/>
                <w:lang w:val="zh-CN"/>
              </w:rPr>
              <w:t>铜梁区</w:t>
            </w:r>
            <w:r>
              <w:rPr>
                <w:rFonts w:hint="eastAsia" w:ascii="宋体" w:hAnsi="宋体"/>
                <w:szCs w:val="21"/>
              </w:rPr>
              <w:t>蒲吕街道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78"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1.2.1</w:t>
            </w:r>
          </w:p>
        </w:tc>
        <w:tc>
          <w:tcPr>
            <w:tcW w:w="1664"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资金来源</w:t>
            </w:r>
          </w:p>
        </w:tc>
        <w:tc>
          <w:tcPr>
            <w:tcW w:w="6948" w:type="dxa"/>
            <w:gridSpan w:val="2"/>
            <w:vAlign w:val="center"/>
          </w:tcPr>
          <w:p>
            <w:pPr>
              <w:tabs>
                <w:tab w:val="left" w:pos="540"/>
                <w:tab w:val="left" w:pos="1080"/>
                <w:tab w:val="left" w:pos="1155"/>
              </w:tabs>
              <w:spacing w:line="400" w:lineRule="exact"/>
              <w:ind w:firstLine="210" w:firstLineChars="100"/>
              <w:rPr>
                <w:rFonts w:ascii="宋体" w:cs="仿宋"/>
                <w:kern w:val="0"/>
                <w:szCs w:val="21"/>
              </w:rPr>
            </w:pPr>
            <w:r>
              <w:rPr>
                <w:rFonts w:hint="eastAsia" w:ascii="宋体" w:cs="仿宋"/>
                <w:kern w:val="0"/>
                <w:szCs w:val="21"/>
              </w:rPr>
              <w:t>业主自筹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78"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1.2.2</w:t>
            </w:r>
          </w:p>
        </w:tc>
        <w:tc>
          <w:tcPr>
            <w:tcW w:w="1664"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出资比例</w:t>
            </w:r>
          </w:p>
        </w:tc>
        <w:tc>
          <w:tcPr>
            <w:tcW w:w="6948" w:type="dxa"/>
            <w:gridSpan w:val="2"/>
            <w:vAlign w:val="center"/>
          </w:tcPr>
          <w:p>
            <w:pPr>
              <w:tabs>
                <w:tab w:val="left" w:pos="540"/>
                <w:tab w:val="left" w:pos="1080"/>
                <w:tab w:val="left" w:pos="1155"/>
              </w:tabs>
              <w:spacing w:line="400" w:lineRule="exact"/>
              <w:ind w:firstLine="210" w:firstLineChars="100"/>
              <w:rPr>
                <w:rFonts w:ascii="宋体" w:cs="仿宋"/>
                <w:kern w:val="0"/>
                <w:szCs w:val="21"/>
              </w:rPr>
            </w:pPr>
            <w:r>
              <w:rPr>
                <w:rFonts w:hint="eastAsia" w:ascii="宋体" w:cs="仿宋"/>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278"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1.2.3</w:t>
            </w:r>
          </w:p>
        </w:tc>
        <w:tc>
          <w:tcPr>
            <w:tcW w:w="1664"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资金落实情况</w:t>
            </w:r>
          </w:p>
        </w:tc>
        <w:tc>
          <w:tcPr>
            <w:tcW w:w="6948" w:type="dxa"/>
            <w:gridSpan w:val="2"/>
            <w:vAlign w:val="center"/>
          </w:tcPr>
          <w:p>
            <w:pPr>
              <w:tabs>
                <w:tab w:val="left" w:pos="540"/>
                <w:tab w:val="left" w:pos="1080"/>
                <w:tab w:val="left" w:pos="1155"/>
              </w:tabs>
              <w:spacing w:line="400" w:lineRule="exact"/>
              <w:ind w:firstLine="210" w:firstLineChars="100"/>
              <w:rPr>
                <w:rFonts w:ascii="宋体" w:cs="仿宋"/>
                <w:kern w:val="0"/>
                <w:szCs w:val="21"/>
              </w:rPr>
            </w:pPr>
            <w:r>
              <w:rPr>
                <w:rFonts w:hint="eastAsia" w:ascii="宋体" w:cs="仿宋"/>
                <w:kern w:val="0"/>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78"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1.3.1</w:t>
            </w:r>
          </w:p>
        </w:tc>
        <w:tc>
          <w:tcPr>
            <w:tcW w:w="1664"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比选范围</w:t>
            </w:r>
          </w:p>
        </w:tc>
        <w:tc>
          <w:tcPr>
            <w:tcW w:w="6948" w:type="dxa"/>
            <w:gridSpan w:val="2"/>
            <w:vAlign w:val="center"/>
          </w:tcPr>
          <w:p>
            <w:pPr>
              <w:tabs>
                <w:tab w:val="left" w:pos="540"/>
                <w:tab w:val="left" w:pos="1080"/>
                <w:tab w:val="left" w:pos="1155"/>
              </w:tabs>
              <w:spacing w:line="400" w:lineRule="exact"/>
              <w:rPr>
                <w:rFonts w:ascii="宋体" w:cs="仿宋"/>
                <w:kern w:val="0"/>
                <w:szCs w:val="21"/>
              </w:rPr>
            </w:pPr>
            <w:r>
              <w:rPr>
                <w:rFonts w:hint="eastAsia" w:ascii="宋体" w:cs="仿宋"/>
                <w:kern w:val="0"/>
                <w:szCs w:val="21"/>
              </w:rPr>
              <w:t>具体详见比选人发布的工程量清单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278"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1.3.2</w:t>
            </w:r>
          </w:p>
        </w:tc>
        <w:tc>
          <w:tcPr>
            <w:tcW w:w="1664"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计划工期</w:t>
            </w:r>
          </w:p>
        </w:tc>
        <w:tc>
          <w:tcPr>
            <w:tcW w:w="6948" w:type="dxa"/>
            <w:gridSpan w:val="2"/>
            <w:vAlign w:val="center"/>
          </w:tcPr>
          <w:p>
            <w:pPr>
              <w:tabs>
                <w:tab w:val="left" w:pos="540"/>
                <w:tab w:val="left" w:pos="1080"/>
                <w:tab w:val="left" w:pos="1155"/>
              </w:tabs>
              <w:spacing w:line="400" w:lineRule="exact"/>
              <w:ind w:firstLine="211" w:firstLineChars="100"/>
              <w:rPr>
                <w:rFonts w:ascii="宋体" w:cs="仿宋"/>
                <w:kern w:val="0"/>
                <w:szCs w:val="21"/>
              </w:rPr>
            </w:pPr>
            <w:r>
              <w:rPr>
                <w:rFonts w:hint="eastAsia" w:ascii="宋体" w:cs="仿宋"/>
                <w:b/>
                <w:bCs/>
                <w:kern w:val="0"/>
                <w:szCs w:val="21"/>
                <w:u w:val="single"/>
                <w:lang w:val="en-US" w:eastAsia="zh-CN"/>
              </w:rPr>
              <w:t>10</w:t>
            </w:r>
            <w:r>
              <w:rPr>
                <w:rFonts w:hint="eastAsia" w:ascii="宋体" w:cs="仿宋"/>
                <w:kern w:val="0"/>
                <w:szCs w:val="21"/>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278"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1.3.3</w:t>
            </w:r>
          </w:p>
        </w:tc>
        <w:tc>
          <w:tcPr>
            <w:tcW w:w="1664"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质量要求</w:t>
            </w:r>
          </w:p>
        </w:tc>
        <w:tc>
          <w:tcPr>
            <w:tcW w:w="6948" w:type="dxa"/>
            <w:gridSpan w:val="2"/>
            <w:vAlign w:val="center"/>
          </w:tcPr>
          <w:p>
            <w:pPr>
              <w:tabs>
                <w:tab w:val="left" w:pos="540"/>
                <w:tab w:val="left" w:pos="1080"/>
                <w:tab w:val="left" w:pos="1155"/>
              </w:tabs>
              <w:spacing w:line="400" w:lineRule="exact"/>
              <w:ind w:firstLine="210" w:firstLineChars="100"/>
              <w:rPr>
                <w:rFonts w:ascii="宋体" w:cs="仿宋"/>
                <w:kern w:val="0"/>
                <w:szCs w:val="21"/>
              </w:rPr>
            </w:pPr>
            <w:r>
              <w:rPr>
                <w:rFonts w:hint="eastAsia" w:ascii="宋体" w:cs="仿宋"/>
                <w:kern w:val="0"/>
                <w:szCs w:val="21"/>
              </w:rPr>
              <w:t>达到国家现行有关施工质量验收规范要求，并达到合格标准。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278" w:type="dxa"/>
            <w:vAlign w:val="center"/>
          </w:tcPr>
          <w:p>
            <w:pPr>
              <w:snapToGrid w:val="0"/>
              <w:spacing w:line="300" w:lineRule="auto"/>
              <w:jc w:val="center"/>
              <w:rPr>
                <w:rFonts w:ascii="宋体" w:cs="仿宋"/>
                <w:kern w:val="0"/>
                <w:szCs w:val="21"/>
              </w:rPr>
            </w:pPr>
            <w:r>
              <w:rPr>
                <w:rFonts w:ascii="宋体" w:cs="仿宋"/>
                <w:kern w:val="0"/>
                <w:szCs w:val="21"/>
              </w:rPr>
              <w:t>1.4.1</w:t>
            </w:r>
          </w:p>
        </w:tc>
        <w:tc>
          <w:tcPr>
            <w:tcW w:w="1664" w:type="dxa"/>
            <w:vAlign w:val="center"/>
          </w:tcPr>
          <w:p>
            <w:pPr>
              <w:snapToGrid w:val="0"/>
              <w:spacing w:line="300" w:lineRule="auto"/>
              <w:jc w:val="center"/>
              <w:rPr>
                <w:rFonts w:ascii="宋体" w:cs="仿宋"/>
                <w:kern w:val="0"/>
                <w:szCs w:val="21"/>
              </w:rPr>
            </w:pPr>
            <w:r>
              <w:rPr>
                <w:rFonts w:hint="eastAsia" w:ascii="宋体" w:cs="仿宋"/>
                <w:kern w:val="0"/>
                <w:szCs w:val="21"/>
              </w:rPr>
              <w:t>投标人资质条件、和能力</w:t>
            </w:r>
          </w:p>
        </w:tc>
        <w:tc>
          <w:tcPr>
            <w:tcW w:w="6948" w:type="dxa"/>
            <w:gridSpan w:val="2"/>
            <w:vAlign w:val="center"/>
          </w:tcPr>
          <w:p>
            <w:pPr>
              <w:autoSpaceDE w:val="0"/>
              <w:autoSpaceDN w:val="0"/>
              <w:adjustRightInd w:val="0"/>
              <w:snapToGrid w:val="0"/>
              <w:spacing w:line="360" w:lineRule="exact"/>
              <w:ind w:firstLine="420" w:firstLineChars="200"/>
              <w:rPr>
                <w:rFonts w:ascii="宋体" w:hAnsi="宋体"/>
                <w:szCs w:val="21"/>
              </w:rPr>
            </w:pPr>
            <w:bookmarkStart w:id="63" w:name="OLE_LINK1"/>
            <w:r>
              <w:rPr>
                <w:rFonts w:ascii="宋体" w:hAnsi="宋体"/>
                <w:szCs w:val="21"/>
              </w:rPr>
              <w:t>本工程施工招标实行资格后审，投标人应</w:t>
            </w:r>
            <w:bookmarkStart w:id="64" w:name="一是"/>
            <w:bookmarkEnd w:id="64"/>
            <w:r>
              <w:rPr>
                <w:rFonts w:ascii="宋体" w:hAnsi="宋体"/>
                <w:szCs w:val="21"/>
              </w:rPr>
              <w:t>具备以下资格条件：</w:t>
            </w:r>
          </w:p>
          <w:p>
            <w:pPr>
              <w:autoSpaceDE w:val="0"/>
              <w:autoSpaceDN w:val="0"/>
              <w:adjustRightInd w:val="0"/>
              <w:snapToGrid w:val="0"/>
              <w:spacing w:line="360" w:lineRule="exact"/>
              <w:ind w:firstLine="420" w:firstLineChars="200"/>
              <w:rPr>
                <w:rFonts w:ascii="宋体" w:hAnsi="宋体"/>
                <w:szCs w:val="21"/>
              </w:rPr>
            </w:pPr>
            <w:r>
              <w:rPr>
                <w:rFonts w:ascii="宋体" w:hAnsi="宋体"/>
                <w:szCs w:val="21"/>
              </w:rPr>
              <w:t>本工程资质设置严格按照《建筑业企业资质管理规定》（住房城乡建设部第22号令）、《住房城乡建设部关于印发《建筑业企业资质标准》的通知》（建市﹝2014﹞159号文）、住房城乡建设部关于印发《建筑业企业资质管理规定和资质标准实施意见》的通知（建市﹝2015﹞20号）、《住房城</w:t>
            </w:r>
            <w:r>
              <w:rPr>
                <w:rFonts w:ascii="宋体" w:hAnsi="宋体"/>
                <w:spacing w:val="2"/>
                <w:szCs w:val="21"/>
              </w:rPr>
              <w:t>乡建设部关于建筑业企业资质管理有关问题的</w:t>
            </w:r>
            <w:r>
              <w:rPr>
                <w:rFonts w:ascii="宋体" w:hAnsi="宋体"/>
                <w:szCs w:val="21"/>
              </w:rPr>
              <w:t>通知》（建市﹝2015﹞154号）</w:t>
            </w:r>
            <w:r>
              <w:rPr>
                <w:rFonts w:hint="eastAsia" w:ascii="宋体" w:hAnsi="宋体"/>
                <w:szCs w:val="21"/>
              </w:rPr>
              <w:t>、《住房城乡建设部关于取消建筑智能化等4个工程设计与施工资质有关事项的通知》（建市﹝2015﹞102号）、《住房城乡建设部关于简化建筑业企业资质标准部分指标的通知》（建市﹝2016﹞226号）</w:t>
            </w:r>
            <w:r>
              <w:rPr>
                <w:rFonts w:ascii="宋体" w:hAnsi="宋体"/>
                <w:szCs w:val="21"/>
              </w:rPr>
              <w:t>等相关规定执行。</w:t>
            </w:r>
          </w:p>
          <w:bookmarkEnd w:id="63"/>
          <w:p>
            <w:pPr>
              <w:autoSpaceDE w:val="0"/>
              <w:autoSpaceDN w:val="0"/>
              <w:adjustRightInd w:val="0"/>
              <w:snapToGrid w:val="0"/>
              <w:spacing w:line="360" w:lineRule="exact"/>
              <w:ind w:firstLine="422" w:firstLineChars="200"/>
              <w:rPr>
                <w:rFonts w:ascii="宋体" w:hAnsi="宋体"/>
                <w:b/>
                <w:szCs w:val="21"/>
              </w:rPr>
            </w:pPr>
            <w:r>
              <w:rPr>
                <w:rFonts w:ascii="宋体" w:hAnsi="宋体"/>
                <w:b/>
                <w:szCs w:val="21"/>
              </w:rPr>
              <w:t>1.资质条件、营业执照及安全生产条件</w:t>
            </w:r>
          </w:p>
          <w:p>
            <w:pPr>
              <w:autoSpaceDE w:val="0"/>
              <w:autoSpaceDN w:val="0"/>
              <w:adjustRightInd w:val="0"/>
              <w:snapToGrid w:val="0"/>
              <w:spacing w:line="360" w:lineRule="exact"/>
              <w:ind w:firstLine="420" w:firstLineChars="200"/>
              <w:rPr>
                <w:rFonts w:ascii="宋体" w:hAnsi="宋体"/>
                <w:szCs w:val="21"/>
              </w:rPr>
            </w:pPr>
            <w:r>
              <w:rPr>
                <w:rFonts w:ascii="宋体" w:hAnsi="宋体"/>
                <w:szCs w:val="21"/>
              </w:rPr>
              <w:t>（1）</w:t>
            </w:r>
            <w:r>
              <w:rPr>
                <w:rFonts w:hint="eastAsia" w:ascii="宋体" w:hAnsi="宋体"/>
                <w:snapToGrid w:val="0"/>
                <w:kern w:val="0"/>
                <w:szCs w:val="21"/>
              </w:rPr>
              <w:t>具备建设行政主管部门颁发的</w:t>
            </w:r>
            <w:r>
              <w:rPr>
                <w:rFonts w:hint="eastAsia" w:ascii="宋体" w:hAnsi="宋体"/>
                <w:snapToGrid w:val="0"/>
                <w:kern w:val="0"/>
                <w:szCs w:val="21"/>
                <w:u w:val="single"/>
              </w:rPr>
              <w:t>市政公用工程施工总承包叁级及以上</w:t>
            </w:r>
            <w:r>
              <w:rPr>
                <w:rFonts w:hint="eastAsia" w:ascii="宋体" w:hAnsi="宋体"/>
                <w:b/>
                <w:szCs w:val="21"/>
              </w:rPr>
              <w:t>带二维码标识的资质证书</w:t>
            </w:r>
            <w:r>
              <w:rPr>
                <w:rFonts w:ascii="宋体" w:hAnsi="宋体"/>
                <w:szCs w:val="21"/>
              </w:rPr>
              <w:t>。</w:t>
            </w:r>
          </w:p>
          <w:p>
            <w:pPr>
              <w:autoSpaceDE w:val="0"/>
              <w:autoSpaceDN w:val="0"/>
              <w:adjustRightInd w:val="0"/>
              <w:snapToGrid w:val="0"/>
              <w:spacing w:line="360" w:lineRule="exact"/>
              <w:ind w:firstLine="420" w:firstLineChars="200"/>
              <w:rPr>
                <w:rFonts w:ascii="宋体" w:hAnsi="宋体"/>
                <w:szCs w:val="21"/>
              </w:rPr>
            </w:pPr>
            <w:r>
              <w:rPr>
                <w:rFonts w:hint="eastAsia" w:ascii="宋体" w:hAnsi="宋体"/>
                <w:szCs w:val="21"/>
              </w:rPr>
              <w:t>投标人</w:t>
            </w:r>
            <w:r>
              <w:rPr>
                <w:rFonts w:ascii="宋体" w:hAnsi="宋体"/>
                <w:szCs w:val="21"/>
              </w:rPr>
              <w:t>须</w:t>
            </w:r>
            <w:r>
              <w:rPr>
                <w:rFonts w:hint="eastAsia" w:ascii="宋体" w:hAnsi="宋体"/>
                <w:szCs w:val="21"/>
              </w:rPr>
              <w:t>在投标文件资格审查部分</w:t>
            </w:r>
            <w:r>
              <w:rPr>
                <w:rFonts w:ascii="宋体" w:hAnsi="宋体"/>
                <w:szCs w:val="21"/>
              </w:rPr>
              <w:t>提供</w:t>
            </w:r>
            <w:r>
              <w:rPr>
                <w:rFonts w:hint="eastAsia" w:ascii="宋体" w:hAnsi="宋体"/>
                <w:szCs w:val="21"/>
              </w:rPr>
              <w:t>有效的带二维码标识的资质证书</w:t>
            </w:r>
            <w:r>
              <w:rPr>
                <w:rFonts w:ascii="宋体" w:hAnsi="宋体"/>
                <w:szCs w:val="21"/>
              </w:rPr>
              <w:t>复印件。</w:t>
            </w:r>
          </w:p>
          <w:p>
            <w:pPr>
              <w:autoSpaceDE w:val="0"/>
              <w:autoSpaceDN w:val="0"/>
              <w:adjustRightInd w:val="0"/>
              <w:snapToGrid w:val="0"/>
              <w:spacing w:line="360" w:lineRule="exact"/>
              <w:ind w:firstLine="420" w:firstLineChars="200"/>
              <w:rPr>
                <w:rFonts w:ascii="宋体" w:hAnsi="宋体"/>
                <w:szCs w:val="21"/>
              </w:rPr>
            </w:pPr>
            <w:r>
              <w:rPr>
                <w:rFonts w:ascii="宋体" w:hAnsi="宋体"/>
                <w:szCs w:val="21"/>
              </w:rPr>
              <w:t>（2）具备有效的营业执照。</w:t>
            </w:r>
          </w:p>
          <w:p>
            <w:pPr>
              <w:autoSpaceDE w:val="0"/>
              <w:autoSpaceDN w:val="0"/>
              <w:adjustRightInd w:val="0"/>
              <w:snapToGrid w:val="0"/>
              <w:spacing w:line="360" w:lineRule="exact"/>
              <w:ind w:firstLine="420" w:firstLineChars="200"/>
              <w:rPr>
                <w:rFonts w:ascii="宋体" w:hAnsi="宋体"/>
                <w:szCs w:val="21"/>
              </w:rPr>
            </w:pPr>
            <w:r>
              <w:rPr>
                <w:rFonts w:hint="eastAsia" w:ascii="宋体" w:hAnsi="宋体"/>
                <w:szCs w:val="21"/>
              </w:rPr>
              <w:t>投标人</w:t>
            </w:r>
            <w:r>
              <w:rPr>
                <w:rFonts w:ascii="宋体" w:hAnsi="宋体"/>
                <w:szCs w:val="21"/>
              </w:rPr>
              <w:t>须</w:t>
            </w:r>
            <w:r>
              <w:rPr>
                <w:rFonts w:hint="eastAsia" w:ascii="宋体" w:hAnsi="宋体"/>
                <w:szCs w:val="21"/>
              </w:rPr>
              <w:t>在投标文件资格审查部分</w:t>
            </w:r>
            <w:r>
              <w:rPr>
                <w:rFonts w:ascii="宋体" w:hAnsi="宋体"/>
                <w:szCs w:val="21"/>
              </w:rPr>
              <w:t>提供有效的带二维码</w:t>
            </w:r>
            <w:r>
              <w:rPr>
                <w:rFonts w:hint="eastAsia" w:ascii="宋体" w:hAnsi="宋体"/>
                <w:szCs w:val="21"/>
              </w:rPr>
              <w:t>标识</w:t>
            </w:r>
            <w:r>
              <w:rPr>
                <w:rFonts w:ascii="宋体" w:hAnsi="宋体"/>
                <w:szCs w:val="21"/>
              </w:rPr>
              <w:t>的营业执照复印件。</w:t>
            </w:r>
          </w:p>
          <w:p>
            <w:pPr>
              <w:autoSpaceDE w:val="0"/>
              <w:autoSpaceDN w:val="0"/>
              <w:adjustRightInd w:val="0"/>
              <w:snapToGrid w:val="0"/>
              <w:spacing w:line="360" w:lineRule="exact"/>
              <w:ind w:firstLine="420" w:firstLineChars="200"/>
              <w:rPr>
                <w:rFonts w:ascii="宋体" w:hAnsi="宋体"/>
                <w:szCs w:val="21"/>
              </w:rPr>
            </w:pPr>
            <w:r>
              <w:rPr>
                <w:rFonts w:ascii="宋体" w:hAnsi="宋体"/>
                <w:szCs w:val="21"/>
              </w:rPr>
              <w:t>（3）具备建设行政主管部门颁发的有效的安全生产许可证，企业</w:t>
            </w:r>
            <w:r>
              <w:rPr>
                <w:rFonts w:hint="eastAsia" w:ascii="宋体" w:hAnsi="宋体"/>
                <w:szCs w:val="21"/>
              </w:rPr>
              <w:t>主要</w:t>
            </w:r>
            <w:r>
              <w:rPr>
                <w:rFonts w:ascii="宋体" w:hAnsi="宋体"/>
                <w:szCs w:val="21"/>
              </w:rPr>
              <w:t>负责人、拟担任该项目项目经理和专职安全生产管理人员（即“三类人员”）具备相应的由建设行政主管部门颁发的有效的安全生产考核合格证书</w:t>
            </w:r>
            <w:r>
              <w:rPr>
                <w:rFonts w:hint="eastAsia" w:ascii="宋体" w:hAnsi="宋体"/>
                <w:szCs w:val="21"/>
              </w:rPr>
              <w:t>。</w:t>
            </w:r>
          </w:p>
          <w:p>
            <w:pPr>
              <w:autoSpaceDE w:val="0"/>
              <w:autoSpaceDN w:val="0"/>
              <w:adjustRightInd w:val="0"/>
              <w:snapToGrid w:val="0"/>
              <w:spacing w:line="360" w:lineRule="exact"/>
              <w:ind w:firstLine="420" w:firstLineChars="200"/>
              <w:rPr>
                <w:rFonts w:ascii="宋体" w:hAnsi="宋体"/>
                <w:szCs w:val="21"/>
              </w:rPr>
            </w:pPr>
            <w:r>
              <w:rPr>
                <w:rFonts w:hint="eastAsia" w:ascii="宋体" w:hAnsi="宋体"/>
                <w:szCs w:val="21"/>
              </w:rPr>
              <w:t>投标人须在投标文件资格审查部分提供有效的安全生产许可证</w:t>
            </w:r>
            <w:r>
              <w:rPr>
                <w:rFonts w:ascii="宋体" w:hAnsi="宋体"/>
                <w:szCs w:val="21"/>
              </w:rPr>
              <w:t>及“三类人员”安全生产考核合格证书复印件。</w:t>
            </w:r>
          </w:p>
          <w:p>
            <w:pPr>
              <w:autoSpaceDE w:val="0"/>
              <w:autoSpaceDN w:val="0"/>
              <w:adjustRightInd w:val="0"/>
              <w:snapToGrid w:val="0"/>
              <w:spacing w:line="400" w:lineRule="exact"/>
              <w:ind w:firstLine="415" w:firstLineChars="198"/>
              <w:rPr>
                <w:rFonts w:ascii="宋体" w:hAnsi="宋体"/>
                <w:b/>
                <w:szCs w:val="21"/>
              </w:rPr>
            </w:pPr>
            <w:r>
              <w:rPr>
                <w:rFonts w:hint="eastAsia" w:ascii="宋体" w:hAnsi="宋体"/>
                <w:szCs w:val="21"/>
              </w:rPr>
              <w:t xml:space="preserve">  2.</w:t>
            </w:r>
            <w:r>
              <w:rPr>
                <w:rFonts w:ascii="宋体" w:hAnsi="宋体"/>
                <w:b/>
                <w:szCs w:val="21"/>
              </w:rPr>
              <w:t>投标截止日投标资格情况</w:t>
            </w:r>
          </w:p>
          <w:p>
            <w:pPr>
              <w:snapToGrid w:val="0"/>
              <w:spacing w:line="360" w:lineRule="exact"/>
              <w:ind w:firstLine="420" w:firstLineChars="200"/>
              <w:rPr>
                <w:rFonts w:ascii="宋体" w:hAnsi="宋体"/>
                <w:szCs w:val="21"/>
              </w:rPr>
            </w:pPr>
            <w:r>
              <w:rPr>
                <w:rFonts w:hint="eastAsia" w:ascii="宋体" w:hAnsi="宋体"/>
                <w:szCs w:val="21"/>
              </w:rPr>
              <w:t>投标人自行承诺（格式自拟）不得存在下列情形之一：</w:t>
            </w:r>
          </w:p>
          <w:p>
            <w:pPr>
              <w:snapToGrid w:val="0"/>
              <w:spacing w:line="360" w:lineRule="exact"/>
              <w:ind w:firstLine="420" w:firstLineChars="200"/>
              <w:jc w:val="left"/>
              <w:rPr>
                <w:rFonts w:ascii="宋体" w:hAnsi="宋体"/>
                <w:szCs w:val="21"/>
              </w:rPr>
            </w:pPr>
            <w:r>
              <w:rPr>
                <w:rFonts w:hint="eastAsia" w:ascii="宋体" w:hAnsi="宋体"/>
                <w:szCs w:val="21"/>
              </w:rPr>
              <w:t>（1）被最高人民法院在“信用中国”网站（</w:t>
            </w:r>
            <w:r>
              <w:fldChar w:fldCharType="begin"/>
            </w:r>
            <w:r>
              <w:instrText xml:space="preserve"> HYPERLINK "http://www.creditchina.gov.cn" </w:instrText>
            </w:r>
            <w:r>
              <w:fldChar w:fldCharType="separate"/>
            </w:r>
            <w:r>
              <w:rPr>
                <w:rStyle w:val="60"/>
                <w:rFonts w:hint="eastAsia" w:ascii="宋体" w:hAnsi="宋体"/>
                <w:color w:val="auto"/>
                <w:szCs w:val="21"/>
              </w:rPr>
              <w:t>www.creditchina.gov.cn</w:t>
            </w:r>
            <w:r>
              <w:rPr>
                <w:rStyle w:val="60"/>
                <w:rFonts w:hint="eastAsia" w:ascii="宋体" w:hAnsi="宋体"/>
                <w:color w:val="auto"/>
                <w:szCs w:val="21"/>
              </w:rPr>
              <w:fldChar w:fldCharType="end"/>
            </w:r>
            <w:r>
              <w:rPr>
                <w:rFonts w:hint="eastAsia" w:ascii="宋体" w:hAnsi="宋体"/>
                <w:szCs w:val="21"/>
              </w:rPr>
              <w:t>）列入失信被执行人名单；</w:t>
            </w:r>
          </w:p>
          <w:p>
            <w:pPr>
              <w:snapToGrid w:val="0"/>
              <w:spacing w:line="360" w:lineRule="exact"/>
              <w:ind w:firstLine="420" w:firstLineChars="200"/>
              <w:rPr>
                <w:rFonts w:ascii="宋体" w:hAnsi="宋体"/>
                <w:szCs w:val="21"/>
              </w:rPr>
            </w:pPr>
            <w:r>
              <w:rPr>
                <w:rFonts w:hint="eastAsia" w:ascii="宋体" w:hAnsi="宋体"/>
                <w:szCs w:val="21"/>
              </w:rPr>
              <w:t>（2）被列入《重庆市工程建设领域招标投标信用管理暂行办法》规定的重点关注名单且记分达到12分；</w:t>
            </w:r>
          </w:p>
          <w:p>
            <w:pPr>
              <w:snapToGrid w:val="0"/>
              <w:spacing w:line="360" w:lineRule="exact"/>
              <w:ind w:firstLine="420" w:firstLineChars="200"/>
              <w:rPr>
                <w:rFonts w:ascii="宋体" w:hAnsi="宋体"/>
                <w:szCs w:val="21"/>
              </w:rPr>
            </w:pPr>
            <w:r>
              <w:rPr>
                <w:rFonts w:hint="eastAsia" w:ascii="宋体" w:hAnsi="宋体"/>
                <w:szCs w:val="21"/>
              </w:rPr>
              <w:t>（3）被列入《重庆市工程建设领域招标投标信用管理暂行办法》规定的黑名单；</w:t>
            </w:r>
          </w:p>
          <w:p>
            <w:pPr>
              <w:snapToGrid w:val="0"/>
              <w:spacing w:line="360" w:lineRule="exact"/>
              <w:ind w:firstLine="420" w:firstLineChars="200"/>
              <w:rPr>
                <w:rFonts w:ascii="宋体" w:hAnsi="宋体"/>
                <w:szCs w:val="21"/>
              </w:rPr>
            </w:pPr>
            <w:r>
              <w:rPr>
                <w:rFonts w:hint="eastAsia" w:ascii="宋体" w:hAnsi="宋体"/>
                <w:szCs w:val="21"/>
              </w:rPr>
              <w:t>（4）被国家、重庆市（含市或任意区县）有关行政部门处以暂停投标资格行政处罚，且在处罚期限内；</w:t>
            </w:r>
          </w:p>
          <w:p>
            <w:pPr>
              <w:snapToGrid w:val="0"/>
              <w:spacing w:line="360" w:lineRule="exact"/>
              <w:ind w:firstLine="420" w:firstLineChars="200"/>
              <w:rPr>
                <w:rFonts w:ascii="宋体" w:hAnsi="宋体"/>
                <w:szCs w:val="21"/>
              </w:rPr>
            </w:pPr>
            <w:r>
              <w:rPr>
                <w:rFonts w:hint="eastAsia" w:ascii="宋体" w:hAnsi="宋体"/>
                <w:szCs w:val="21"/>
              </w:rPr>
              <w:t>（5）被重庆市住房和城乡建设主管部门暂停在渝承揽新业务。</w:t>
            </w:r>
          </w:p>
          <w:p>
            <w:pPr>
              <w:snapToGrid w:val="0"/>
              <w:spacing w:line="360" w:lineRule="exact"/>
              <w:ind w:firstLine="422" w:firstLineChars="200"/>
              <w:rPr>
                <w:rFonts w:ascii="宋体" w:hAnsi="宋体"/>
                <w:b/>
                <w:szCs w:val="21"/>
              </w:rPr>
            </w:pPr>
            <w:r>
              <w:rPr>
                <w:rFonts w:hint="eastAsia" w:ascii="宋体" w:hAnsi="宋体"/>
                <w:b/>
                <w:szCs w:val="21"/>
              </w:rPr>
              <w:t>3</w:t>
            </w:r>
            <w:r>
              <w:rPr>
                <w:rFonts w:ascii="宋体" w:hAnsi="宋体"/>
                <w:b/>
                <w:szCs w:val="21"/>
              </w:rPr>
              <w:t>.项目经理资格要求</w:t>
            </w:r>
          </w:p>
          <w:p>
            <w:pPr>
              <w:snapToGrid w:val="0"/>
              <w:spacing w:line="360" w:lineRule="exact"/>
              <w:ind w:firstLine="420" w:firstLineChars="200"/>
              <w:rPr>
                <w:rFonts w:ascii="宋体" w:hAnsi="宋体"/>
                <w:szCs w:val="21"/>
              </w:rPr>
            </w:pPr>
            <w:r>
              <w:rPr>
                <w:rFonts w:ascii="宋体" w:hAnsi="宋体"/>
                <w:szCs w:val="21"/>
              </w:rPr>
              <w:t>（</w:t>
            </w:r>
            <w:r>
              <w:rPr>
                <w:rFonts w:hint="eastAsia" w:ascii="宋体" w:hAnsi="宋体"/>
                <w:szCs w:val="21"/>
              </w:rPr>
              <w:t>1</w:t>
            </w:r>
            <w:r>
              <w:rPr>
                <w:rFonts w:ascii="宋体" w:hAnsi="宋体"/>
                <w:szCs w:val="21"/>
              </w:rPr>
              <w:t>）</w:t>
            </w:r>
            <w:r>
              <w:rPr>
                <w:rFonts w:hint="eastAsia" w:ascii="宋体" w:hAnsi="宋体"/>
                <w:szCs w:val="21"/>
              </w:rPr>
              <w:t>投标人拟派的</w:t>
            </w:r>
            <w:r>
              <w:rPr>
                <w:rFonts w:ascii="宋体" w:hAnsi="宋体"/>
                <w:szCs w:val="21"/>
              </w:rPr>
              <w:t>项目经理必须已在</w:t>
            </w:r>
            <w:r>
              <w:rPr>
                <w:rFonts w:hint="eastAsia" w:ascii="宋体" w:hAnsi="宋体"/>
                <w:szCs w:val="21"/>
              </w:rPr>
              <w:t>投标人本</w:t>
            </w:r>
            <w:r>
              <w:rPr>
                <w:rFonts w:ascii="宋体" w:hAnsi="宋体"/>
                <w:szCs w:val="21"/>
              </w:rPr>
              <w:t>单位注册并应具有</w:t>
            </w:r>
            <w:r>
              <w:rPr>
                <w:rFonts w:hint="eastAsia" w:ascii="宋体" w:hAnsi="宋体"/>
                <w:b/>
                <w:szCs w:val="21"/>
                <w:u w:val="single"/>
              </w:rPr>
              <w:t>市政公用工程二级及以上注册建造师执业资格</w:t>
            </w:r>
            <w:r>
              <w:rPr>
                <w:rFonts w:hint="eastAsia" w:ascii="宋体" w:hAnsi="宋体"/>
                <w:szCs w:val="21"/>
              </w:rPr>
              <w:t>，应为投标人本单位人员，并做出项目经理到岗履职的承诺（自行承诺拟派项目经理中标后只能在本项目任职，签订合同时拟派的项目经理必须与投标文件中的项目经理一致，并满足办理施工许可手续的相关要求。不能按承诺到岗履约的，按合同相关条款处罚并上报行政主管部门，给招标人造成损失的，投标人依法承担违约赔偿责任）和未被禁标的承诺（自行承诺拟派项目经理未被我市住房和城乡建设主管部门暂停在渝承揽新业务，若被暂停且参加投标的投标将被否决，投标保证金不予退还，给招标人造成损失的，投标人依法承担违约赔偿责任），否则由评标委员会作否决投标处理。</w:t>
            </w:r>
          </w:p>
          <w:p>
            <w:pPr>
              <w:snapToGrid w:val="0"/>
              <w:spacing w:line="360" w:lineRule="exact"/>
              <w:ind w:firstLine="420" w:firstLineChars="200"/>
              <w:rPr>
                <w:rFonts w:ascii="宋体" w:hAnsi="宋体"/>
                <w:szCs w:val="21"/>
              </w:rPr>
            </w:pPr>
            <w:r>
              <w:rPr>
                <w:rFonts w:hint="eastAsia" w:ascii="宋体" w:hAnsi="宋体"/>
                <w:szCs w:val="21"/>
              </w:rPr>
              <w:t>拟派项目经理中标后不得随意更换。</w:t>
            </w:r>
          </w:p>
          <w:p>
            <w:pPr>
              <w:autoSpaceDE w:val="0"/>
              <w:autoSpaceDN w:val="0"/>
              <w:adjustRightInd w:val="0"/>
              <w:snapToGrid w:val="0"/>
              <w:spacing w:line="360" w:lineRule="exact"/>
              <w:ind w:firstLine="420" w:firstLineChars="200"/>
              <w:rPr>
                <w:rFonts w:ascii="宋体" w:hAnsi="宋体"/>
                <w:spacing w:val="-24"/>
                <w:kern w:val="0"/>
                <w:szCs w:val="21"/>
              </w:rPr>
            </w:pPr>
            <w:r>
              <w:rPr>
                <w:rFonts w:hint="eastAsia" w:ascii="宋体" w:hAnsi="宋体"/>
                <w:kern w:val="0"/>
                <w:szCs w:val="21"/>
              </w:rPr>
              <w:t>同时，投标人须在投标文件资格审查部分提供拟派项目经理建造师注册证、身份证、投标人本单位为其缴纳的养老保险证明材料复印件，拟派项目经理到岗履职和未被禁标的承诺原件。</w:t>
            </w:r>
          </w:p>
          <w:p>
            <w:pPr>
              <w:autoSpaceDE w:val="0"/>
              <w:autoSpaceDN w:val="0"/>
              <w:adjustRightInd w:val="0"/>
              <w:snapToGrid w:val="0"/>
              <w:spacing w:line="360" w:lineRule="exact"/>
              <w:ind w:firstLine="422" w:firstLineChars="200"/>
              <w:rPr>
                <w:rFonts w:ascii="宋体" w:hAnsi="宋体"/>
                <w:b/>
                <w:szCs w:val="21"/>
              </w:rPr>
            </w:pPr>
            <w:r>
              <w:rPr>
                <w:rFonts w:hint="eastAsia" w:ascii="宋体" w:hAnsi="宋体"/>
                <w:b/>
                <w:szCs w:val="21"/>
              </w:rPr>
              <w:t>4</w:t>
            </w:r>
            <w:r>
              <w:rPr>
                <w:rFonts w:ascii="宋体" w:hAnsi="宋体"/>
                <w:b/>
                <w:szCs w:val="21"/>
              </w:rPr>
              <w:t>.其他要求</w:t>
            </w:r>
          </w:p>
          <w:p>
            <w:pPr>
              <w:snapToGrid w:val="0"/>
              <w:spacing w:line="360" w:lineRule="exact"/>
              <w:ind w:firstLine="420" w:firstLineChars="200"/>
              <w:rPr>
                <w:rFonts w:ascii="宋体" w:hAnsi="宋体"/>
                <w:szCs w:val="21"/>
              </w:rPr>
            </w:pPr>
            <w:r>
              <w:rPr>
                <w:rFonts w:ascii="宋体" w:hAnsi="宋体"/>
                <w:kern w:val="0"/>
                <w:szCs w:val="21"/>
              </w:rPr>
              <w:t>（1）</w:t>
            </w:r>
            <w:r>
              <w:rPr>
                <w:rFonts w:ascii="宋体" w:hAnsi="宋体"/>
                <w:szCs w:val="21"/>
              </w:rPr>
              <w:t>项目技术负责人：</w:t>
            </w:r>
          </w:p>
          <w:p>
            <w:pPr>
              <w:snapToGrid w:val="0"/>
              <w:spacing w:line="360" w:lineRule="exact"/>
              <w:ind w:firstLine="420" w:firstLineChars="200"/>
              <w:rPr>
                <w:rFonts w:ascii="宋体" w:hAnsi="宋体"/>
                <w:szCs w:val="21"/>
              </w:rPr>
            </w:pPr>
            <w:r>
              <w:rPr>
                <w:rFonts w:ascii="宋体" w:hAnsi="宋体"/>
                <w:szCs w:val="21"/>
              </w:rPr>
              <w:t>应具有</w:t>
            </w:r>
            <w:r>
              <w:rPr>
                <w:rFonts w:hint="eastAsia" w:ascii="宋体" w:hAnsi="宋体"/>
                <w:szCs w:val="21"/>
                <w:u w:val="single"/>
              </w:rPr>
              <w:t>市政公用工程</w:t>
            </w:r>
            <w:r>
              <w:rPr>
                <w:rFonts w:hint="eastAsia" w:ascii="宋体" w:hAnsi="宋体"/>
                <w:szCs w:val="21"/>
              </w:rPr>
              <w:t>类</w:t>
            </w:r>
            <w:r>
              <w:rPr>
                <w:rFonts w:hint="eastAsia" w:ascii="宋体" w:hAnsi="宋体"/>
                <w:szCs w:val="21"/>
                <w:u w:val="single"/>
              </w:rPr>
              <w:t>中</w:t>
            </w:r>
            <w:r>
              <w:rPr>
                <w:rFonts w:ascii="宋体" w:hAnsi="宋体"/>
                <w:szCs w:val="21"/>
                <w:u w:val="single"/>
              </w:rPr>
              <w:t>级</w:t>
            </w:r>
            <w:r>
              <w:rPr>
                <w:rFonts w:hint="eastAsia" w:ascii="宋体" w:hAnsi="宋体"/>
                <w:szCs w:val="21"/>
                <w:u w:val="single"/>
              </w:rPr>
              <w:t>及以上</w:t>
            </w:r>
            <w:r>
              <w:rPr>
                <w:rFonts w:ascii="宋体" w:hAnsi="宋体"/>
                <w:szCs w:val="21"/>
              </w:rPr>
              <w:t>职称；</w:t>
            </w:r>
          </w:p>
          <w:p>
            <w:pPr>
              <w:autoSpaceDE w:val="0"/>
              <w:autoSpaceDN w:val="0"/>
              <w:adjustRightInd w:val="0"/>
              <w:snapToGrid w:val="0"/>
              <w:spacing w:line="360" w:lineRule="exact"/>
              <w:ind w:firstLine="420" w:firstLineChars="200"/>
              <w:rPr>
                <w:rFonts w:ascii="宋体" w:hAnsi="宋体"/>
                <w:spacing w:val="-24"/>
                <w:kern w:val="0"/>
                <w:szCs w:val="21"/>
              </w:rPr>
            </w:pPr>
            <w:r>
              <w:rPr>
                <w:rFonts w:hint="eastAsia" w:ascii="宋体" w:hAnsi="宋体"/>
                <w:kern w:val="0"/>
                <w:szCs w:val="21"/>
              </w:rPr>
              <w:t>投标人须在投标文件资格审查部分附拟派技术负责人身份证、职称证及投标人本单位为其缴纳的养老保险证明材料复印件。</w:t>
            </w:r>
          </w:p>
          <w:p>
            <w:pPr>
              <w:autoSpaceDE w:val="0"/>
              <w:autoSpaceDN w:val="0"/>
              <w:adjustRightInd w:val="0"/>
              <w:snapToGrid w:val="0"/>
              <w:spacing w:line="360" w:lineRule="exact"/>
              <w:ind w:firstLine="420" w:firstLineChars="200"/>
              <w:rPr>
                <w:rFonts w:ascii="宋体" w:hAnsi="宋体"/>
                <w:szCs w:val="21"/>
              </w:rPr>
            </w:pPr>
            <w:r>
              <w:rPr>
                <w:rFonts w:ascii="宋体" w:hAnsi="宋体"/>
                <w:kern w:val="0"/>
                <w:szCs w:val="21"/>
              </w:rPr>
              <w:t>（2）</w:t>
            </w:r>
            <w:r>
              <w:rPr>
                <w:rFonts w:ascii="宋体" w:hAnsi="宋体"/>
                <w:szCs w:val="21"/>
              </w:rPr>
              <w:t>主要管理人员：</w:t>
            </w:r>
          </w:p>
          <w:p>
            <w:pPr>
              <w:autoSpaceDE w:val="0"/>
              <w:autoSpaceDN w:val="0"/>
              <w:adjustRightInd w:val="0"/>
              <w:spacing w:line="360" w:lineRule="exact"/>
              <w:ind w:firstLine="420" w:firstLineChars="200"/>
              <w:rPr>
                <w:rFonts w:ascii="宋体" w:hAnsi="宋体"/>
                <w:szCs w:val="21"/>
              </w:rPr>
            </w:pPr>
            <w:r>
              <w:rPr>
                <w:rFonts w:hint="eastAsia" w:ascii="宋体" w:hAnsi="宋体"/>
                <w:szCs w:val="21"/>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本单位为其缴纳的养老保险证明材料。中标后不能满足该要求的，取消其中标资格，给招标人造成损失的，投标人依法承担违约赔偿责任。投标人须在投标文件资格审查部分附承诺函（格式自拟）。</w:t>
            </w:r>
          </w:p>
          <w:p>
            <w:pPr>
              <w:snapToGrid w:val="0"/>
              <w:spacing w:line="360" w:lineRule="exact"/>
              <w:rPr>
                <w:rFonts w:ascii="宋体" w:hAnsi="宋体" w:cs="宋体"/>
                <w:b/>
              </w:rPr>
            </w:pPr>
            <w:r>
              <w:rPr>
                <w:rFonts w:hint="eastAsia" w:ascii="宋体" w:hAnsi="宋体" w:cs="宋体"/>
                <w:b/>
                <w:kern w:val="0"/>
                <w:szCs w:val="21"/>
              </w:rPr>
              <w:t>特别说明：</w:t>
            </w:r>
            <w:r>
              <w:rPr>
                <w:rFonts w:hint="eastAsia" w:ascii="宋体" w:hAnsi="宋体" w:cs="宋体"/>
                <w:b/>
              </w:rPr>
              <w:t xml:space="preserve"> </w:t>
            </w:r>
          </w:p>
          <w:p>
            <w:pPr>
              <w:autoSpaceDE w:val="0"/>
              <w:autoSpaceDN w:val="0"/>
              <w:adjustRightInd w:val="0"/>
              <w:snapToGrid w:val="0"/>
              <w:spacing w:line="360" w:lineRule="exact"/>
              <w:ind w:firstLine="415" w:firstLineChars="198"/>
              <w:rPr>
                <w:rFonts w:ascii="宋体" w:hAnsi="宋体" w:cs="宋体"/>
                <w:szCs w:val="21"/>
              </w:rPr>
            </w:pPr>
            <w:r>
              <w:rPr>
                <w:rFonts w:hint="eastAsia" w:ascii="宋体" w:hAnsi="宋体" w:cs="宋体"/>
                <w:szCs w:val="21"/>
              </w:rPr>
              <w:t>（</w:t>
            </w:r>
            <w:r>
              <w:rPr>
                <w:rFonts w:ascii="宋体" w:hAnsi="宋体" w:cs="宋体"/>
                <w:szCs w:val="21"/>
              </w:rPr>
              <w:t>1）上述1～</w:t>
            </w:r>
            <w:r>
              <w:rPr>
                <w:rFonts w:hint="eastAsia" w:ascii="宋体" w:hAnsi="宋体" w:cs="宋体"/>
                <w:szCs w:val="21"/>
              </w:rPr>
              <w:t>4条所需提交的相关证明材料复印件均应加盖投标单位法人章并装入投标文件资格审查部分中。投标时投标人的委托代理人须随身携带以上所有复印件的原件及原件清单</w:t>
            </w:r>
            <w:r>
              <w:rPr>
                <w:rFonts w:hint="eastAsia" w:ascii="宋体" w:hAnsi="宋体" w:cs="宋体"/>
                <w:szCs w:val="21"/>
                <w:lang w:eastAsia="zh-CN"/>
              </w:rPr>
              <w:t>（身份证除外）</w:t>
            </w:r>
            <w:r>
              <w:rPr>
                <w:rFonts w:hint="eastAsia" w:ascii="宋体" w:hAnsi="宋体" w:cs="宋体"/>
                <w:szCs w:val="21"/>
              </w:rPr>
              <w:t>，在递交投标文件时一次性递交，不得补交，原件袋必须密封。评标委员会审查时必须对有关证明和证件的原件核查，若经审查复印件与原件不一致，或未提交原件的，则投标文件由评标委员会作否决投标处理。</w:t>
            </w:r>
          </w:p>
          <w:p>
            <w:pPr>
              <w:autoSpaceDE w:val="0"/>
              <w:autoSpaceDN w:val="0"/>
              <w:adjustRightInd w:val="0"/>
              <w:snapToGrid w:val="0"/>
              <w:spacing w:line="360" w:lineRule="exact"/>
              <w:ind w:firstLine="415" w:firstLineChars="198"/>
              <w:rPr>
                <w:rFonts w:ascii="宋体" w:hAnsi="宋体" w:cs="宋体"/>
                <w:kern w:val="0"/>
                <w:szCs w:val="21"/>
              </w:rPr>
            </w:pPr>
            <w:r>
              <w:rPr>
                <w:rFonts w:hint="eastAsia" w:ascii="宋体" w:hAnsi="宋体" w:cs="宋体"/>
                <w:kern w:val="0"/>
                <w:szCs w:val="21"/>
              </w:rPr>
              <w:t>以上1</w:t>
            </w:r>
            <w:r>
              <w:rPr>
                <w:rFonts w:hint="eastAsia" w:ascii="宋体" w:hAnsi="宋体" w:cs="宋体"/>
                <w:szCs w:val="21"/>
              </w:rPr>
              <w:t>～</w:t>
            </w:r>
            <w:r>
              <w:rPr>
                <w:rFonts w:hint="eastAsia" w:ascii="宋体" w:hAnsi="宋体" w:cs="宋体"/>
                <w:kern w:val="0"/>
                <w:szCs w:val="21"/>
              </w:rPr>
              <w:t>4条，有一条不满足，则投标文件由评标委员会</w:t>
            </w:r>
            <w:r>
              <w:rPr>
                <w:rFonts w:hint="eastAsia" w:ascii="宋体" w:hAnsi="宋体" w:cs="宋体"/>
                <w:szCs w:val="21"/>
              </w:rPr>
              <w:t>作否决投标处理</w:t>
            </w:r>
            <w:r>
              <w:rPr>
                <w:rFonts w:hint="eastAsia" w:ascii="宋体" w:hAnsi="宋体" w:cs="宋体"/>
                <w:kern w:val="0"/>
                <w:szCs w:val="21"/>
              </w:rPr>
              <w:t>。</w:t>
            </w:r>
          </w:p>
          <w:p>
            <w:pPr>
              <w:autoSpaceDE w:val="0"/>
              <w:autoSpaceDN w:val="0"/>
              <w:adjustRightInd w:val="0"/>
              <w:snapToGrid w:val="0"/>
              <w:spacing w:line="360" w:lineRule="exact"/>
              <w:ind w:firstLine="415" w:firstLineChars="198"/>
              <w:rPr>
                <w:rFonts w:ascii="宋体" w:hAnsi="宋体" w:cs="宋体"/>
                <w:szCs w:val="21"/>
              </w:rPr>
            </w:pPr>
            <w:r>
              <w:rPr>
                <w:rFonts w:hint="eastAsia" w:ascii="宋体" w:hAnsi="宋体" w:cs="宋体"/>
                <w:szCs w:val="21"/>
              </w:rPr>
              <w:t>（2）</w:t>
            </w:r>
            <w:r>
              <w:rPr>
                <w:rFonts w:ascii="宋体" w:hAnsi="宋体" w:cs="宋体"/>
                <w:szCs w:val="21"/>
              </w:rPr>
              <w:t>招标人在投标有效期内均有权对投标人提供的以上资料（</w:t>
            </w:r>
            <w:r>
              <w:rPr>
                <w:rFonts w:hint="eastAsia" w:ascii="宋体" w:hAnsi="宋体" w:cs="宋体"/>
                <w:szCs w:val="21"/>
              </w:rPr>
              <w:t>证明和证件的原件</w:t>
            </w:r>
            <w:r>
              <w:rPr>
                <w:rFonts w:ascii="宋体" w:hAnsi="宋体" w:cs="宋体"/>
                <w:szCs w:val="21"/>
              </w:rPr>
              <w:t>或复印件）进行核实，</w:t>
            </w:r>
            <w:r>
              <w:rPr>
                <w:rFonts w:hint="eastAsia" w:ascii="宋体" w:hAnsi="宋体" w:cs="宋体"/>
                <w:szCs w:val="21"/>
              </w:rPr>
              <w:t>若发现资料存在虚假不实，按照相关法律法规处理，其投标保证金不予退还，投标人承担因此造成的相关责任并赔偿相应损失。</w:t>
            </w:r>
          </w:p>
          <w:p>
            <w:pPr>
              <w:spacing w:line="360" w:lineRule="exact"/>
              <w:ind w:firstLine="420" w:firstLineChars="200"/>
              <w:rPr>
                <w:rFonts w:ascii="宋体" w:hAnsi="宋体"/>
                <w:bCs/>
                <w:kern w:val="0"/>
                <w:szCs w:val="21"/>
              </w:rPr>
            </w:pPr>
            <w:r>
              <w:rPr>
                <w:rFonts w:hint="eastAsia" w:ascii="宋体" w:hAnsi="宋体"/>
                <w:bCs/>
                <w:kern w:val="0"/>
                <w:szCs w:val="21"/>
              </w:rPr>
              <w:t>（3）</w:t>
            </w:r>
            <w:r>
              <w:rPr>
                <w:rFonts w:ascii="宋体" w:hAnsi="宋体"/>
                <w:bCs/>
                <w:kern w:val="0"/>
                <w:szCs w:val="21"/>
              </w:rPr>
              <w:t>本招标文件中所要求的人员</w:t>
            </w:r>
            <w:r>
              <w:rPr>
                <w:rFonts w:hint="eastAsia" w:ascii="宋体" w:hAnsi="宋体"/>
                <w:bCs/>
                <w:kern w:val="0"/>
                <w:szCs w:val="21"/>
              </w:rPr>
              <w:t>养老保险</w:t>
            </w:r>
            <w:r>
              <w:rPr>
                <w:rFonts w:ascii="宋体" w:hAnsi="宋体"/>
                <w:bCs/>
                <w:kern w:val="0"/>
                <w:szCs w:val="21"/>
              </w:rPr>
              <w:t>证明要求如下：</w:t>
            </w:r>
          </w:p>
          <w:p>
            <w:pPr>
              <w:spacing w:line="360" w:lineRule="exact"/>
              <w:ind w:firstLine="420" w:firstLineChars="200"/>
              <w:rPr>
                <w:rFonts w:ascii="宋体" w:hAnsi="宋体"/>
                <w:bCs/>
                <w:kern w:val="0"/>
                <w:szCs w:val="21"/>
              </w:rPr>
            </w:pPr>
            <w:r>
              <w:rPr>
                <w:rFonts w:ascii="宋体" w:hAnsi="宋体"/>
                <w:bCs/>
                <w:kern w:val="0"/>
                <w:szCs w:val="21"/>
              </w:rPr>
              <w:t>①社会单位提供</w:t>
            </w:r>
            <w:r>
              <w:rPr>
                <w:rFonts w:hint="eastAsia" w:ascii="宋体" w:hAnsi="宋体"/>
                <w:bCs/>
                <w:kern w:val="0"/>
                <w:szCs w:val="21"/>
              </w:rPr>
              <w:t>养老保险</w:t>
            </w:r>
            <w:r>
              <w:rPr>
                <w:rFonts w:ascii="宋体" w:hAnsi="宋体"/>
                <w:bCs/>
                <w:kern w:val="0"/>
                <w:szCs w:val="21"/>
              </w:rPr>
              <w:t>证明，事业单位提供</w:t>
            </w:r>
            <w:r>
              <w:rPr>
                <w:rFonts w:hint="eastAsia" w:ascii="宋体" w:hAnsi="宋体"/>
                <w:bCs/>
                <w:kern w:val="0"/>
                <w:szCs w:val="21"/>
              </w:rPr>
              <w:t>养老保险</w:t>
            </w:r>
            <w:r>
              <w:rPr>
                <w:rFonts w:ascii="宋体" w:hAnsi="宋体"/>
                <w:bCs/>
                <w:kern w:val="0"/>
                <w:szCs w:val="21"/>
              </w:rPr>
              <w:t>证明或行政主管部门在编证明。</w:t>
            </w:r>
          </w:p>
          <w:p>
            <w:pPr>
              <w:spacing w:line="360" w:lineRule="exact"/>
              <w:ind w:firstLine="420" w:firstLineChars="200"/>
              <w:rPr>
                <w:rFonts w:ascii="宋体" w:hAnsi="宋体"/>
                <w:bCs/>
                <w:szCs w:val="21"/>
              </w:rPr>
            </w:pPr>
            <w:r>
              <w:rPr>
                <w:rFonts w:ascii="宋体" w:hAnsi="宋体"/>
                <w:bCs/>
                <w:kern w:val="0"/>
                <w:szCs w:val="21"/>
              </w:rPr>
              <w:t>②</w:t>
            </w:r>
            <w:r>
              <w:rPr>
                <w:rFonts w:ascii="宋体" w:hAnsi="宋体"/>
                <w:bCs/>
                <w:snapToGrid w:val="0"/>
                <w:kern w:val="0"/>
                <w:szCs w:val="21"/>
              </w:rPr>
              <w:t>投标文件中对</w:t>
            </w:r>
            <w:r>
              <w:rPr>
                <w:rFonts w:hint="eastAsia" w:ascii="宋体" w:hAnsi="宋体"/>
                <w:bCs/>
                <w:snapToGrid w:val="0"/>
                <w:kern w:val="0"/>
                <w:szCs w:val="21"/>
              </w:rPr>
              <w:t>养老保险</w:t>
            </w:r>
            <w:r>
              <w:rPr>
                <w:rFonts w:ascii="宋体" w:hAnsi="宋体"/>
                <w:bCs/>
                <w:snapToGrid w:val="0"/>
                <w:kern w:val="0"/>
                <w:szCs w:val="21"/>
              </w:rPr>
              <w:t>的要求为</w:t>
            </w:r>
            <w:r>
              <w:rPr>
                <w:rFonts w:hint="eastAsia" w:ascii="宋体" w:hAnsi="宋体"/>
                <w:bCs/>
                <w:snapToGrid w:val="0"/>
                <w:kern w:val="0"/>
                <w:szCs w:val="21"/>
              </w:rPr>
              <w:t>：项目经理、</w:t>
            </w:r>
            <w:r>
              <w:rPr>
                <w:rFonts w:ascii="宋体" w:hAnsi="宋体"/>
                <w:bCs/>
                <w:snapToGrid w:val="0"/>
                <w:kern w:val="0"/>
                <w:szCs w:val="21"/>
              </w:rPr>
              <w:t>项目技术负责人的</w:t>
            </w:r>
            <w:r>
              <w:rPr>
                <w:rFonts w:hint="eastAsia" w:ascii="宋体" w:hAnsi="宋体"/>
                <w:bCs/>
                <w:snapToGrid w:val="0"/>
                <w:kern w:val="0"/>
                <w:szCs w:val="21"/>
              </w:rPr>
              <w:t>养老保险</w:t>
            </w:r>
            <w:r>
              <w:rPr>
                <w:rFonts w:ascii="宋体" w:hAnsi="宋体"/>
                <w:bCs/>
                <w:snapToGrid w:val="0"/>
                <w:kern w:val="0"/>
                <w:szCs w:val="21"/>
              </w:rPr>
              <w:t>证明期限为</w:t>
            </w:r>
            <w:r>
              <w:rPr>
                <w:rFonts w:hint="eastAsia" w:ascii="宋体" w:hAnsi="宋体"/>
                <w:bCs/>
                <w:snapToGrid w:val="0"/>
                <w:kern w:val="0"/>
                <w:szCs w:val="21"/>
                <w:u w:val="single"/>
              </w:rPr>
              <w:t>2020</w:t>
            </w:r>
            <w:r>
              <w:rPr>
                <w:rFonts w:ascii="宋体" w:hAnsi="宋体"/>
                <w:bCs/>
                <w:snapToGrid w:val="0"/>
                <w:kern w:val="0"/>
                <w:szCs w:val="21"/>
              </w:rPr>
              <w:t>年</w:t>
            </w:r>
            <w:r>
              <w:rPr>
                <w:rFonts w:hint="eastAsia" w:ascii="宋体" w:hAnsi="宋体"/>
                <w:bCs/>
                <w:snapToGrid w:val="0"/>
                <w:kern w:val="0"/>
                <w:szCs w:val="21"/>
                <w:u w:val="single"/>
                <w:lang w:val="en-US" w:eastAsia="zh-CN"/>
              </w:rPr>
              <w:t>10</w:t>
            </w:r>
            <w:r>
              <w:rPr>
                <w:rFonts w:ascii="宋体" w:hAnsi="宋体"/>
                <w:bCs/>
                <w:snapToGrid w:val="0"/>
                <w:kern w:val="0"/>
                <w:szCs w:val="21"/>
              </w:rPr>
              <w:t>月至</w:t>
            </w:r>
            <w:r>
              <w:rPr>
                <w:rFonts w:hint="eastAsia" w:ascii="宋体" w:hAnsi="宋体"/>
                <w:bCs/>
                <w:snapToGrid w:val="0"/>
                <w:kern w:val="0"/>
                <w:szCs w:val="21"/>
                <w:u w:val="single"/>
              </w:rPr>
              <w:t>2021</w:t>
            </w:r>
            <w:r>
              <w:rPr>
                <w:rFonts w:ascii="宋体" w:hAnsi="宋体"/>
                <w:bCs/>
                <w:snapToGrid w:val="0"/>
                <w:kern w:val="0"/>
                <w:szCs w:val="21"/>
              </w:rPr>
              <w:t>年</w:t>
            </w:r>
            <w:r>
              <w:rPr>
                <w:rFonts w:hint="eastAsia" w:ascii="宋体" w:hAnsi="宋体"/>
                <w:bCs/>
                <w:snapToGrid w:val="0"/>
                <w:kern w:val="0"/>
                <w:szCs w:val="21"/>
                <w:u w:val="single"/>
              </w:rPr>
              <w:t xml:space="preserve"> </w:t>
            </w:r>
            <w:r>
              <w:rPr>
                <w:rFonts w:hint="eastAsia" w:ascii="宋体" w:hAnsi="宋体"/>
                <w:bCs/>
                <w:snapToGrid w:val="0"/>
                <w:kern w:val="0"/>
                <w:szCs w:val="21"/>
                <w:u w:val="single"/>
                <w:lang w:val="en-US" w:eastAsia="zh-CN"/>
              </w:rPr>
              <w:t>3</w:t>
            </w:r>
            <w:r>
              <w:rPr>
                <w:rFonts w:ascii="宋体" w:hAnsi="宋体"/>
                <w:bCs/>
                <w:snapToGrid w:val="0"/>
                <w:kern w:val="0"/>
                <w:szCs w:val="21"/>
              </w:rPr>
              <w:t>月的</w:t>
            </w:r>
            <w:r>
              <w:rPr>
                <w:rFonts w:ascii="宋体" w:hAnsi="宋体"/>
                <w:bCs/>
                <w:szCs w:val="21"/>
              </w:rPr>
              <w:t>连续</w:t>
            </w:r>
            <w:r>
              <w:rPr>
                <w:rFonts w:hint="eastAsia" w:ascii="宋体" w:hAnsi="宋体"/>
                <w:bCs/>
                <w:szCs w:val="21"/>
              </w:rPr>
              <w:t>养老保险。</w:t>
            </w:r>
          </w:p>
          <w:p>
            <w:pPr>
              <w:spacing w:line="360" w:lineRule="exact"/>
              <w:ind w:firstLine="420" w:firstLineChars="200"/>
              <w:rPr>
                <w:rFonts w:ascii="宋体" w:hAnsi="宋体"/>
                <w:bCs/>
                <w:snapToGrid w:val="0"/>
                <w:kern w:val="0"/>
                <w:szCs w:val="21"/>
              </w:rPr>
            </w:pPr>
            <w:r>
              <w:rPr>
                <w:rFonts w:hint="eastAsia" w:ascii="宋体" w:hAnsi="宋体"/>
                <w:bCs/>
                <w:snapToGrid w:val="0"/>
                <w:kern w:val="0"/>
                <w:szCs w:val="21"/>
              </w:rPr>
              <w:t>养老保险证明原件必须加盖社保部门公章，提供养老保险参保证明（个人），含身份证号或社保号和参保基本情况、参保缴费明细（养老保险）</w:t>
            </w:r>
            <w:r>
              <w:rPr>
                <w:rFonts w:ascii="宋体" w:hAnsi="宋体"/>
                <w:bCs/>
                <w:snapToGrid w:val="0"/>
                <w:kern w:val="0"/>
                <w:szCs w:val="21"/>
              </w:rPr>
              <w:t>，否则</w:t>
            </w:r>
            <w:r>
              <w:rPr>
                <w:rFonts w:hint="eastAsia" w:ascii="宋体" w:hAnsi="宋体"/>
                <w:bCs/>
                <w:snapToGrid w:val="0"/>
                <w:kern w:val="0"/>
                <w:szCs w:val="21"/>
              </w:rPr>
              <w:t>由评标委员会作否决投标</w:t>
            </w:r>
            <w:r>
              <w:rPr>
                <w:rFonts w:ascii="宋体" w:hAnsi="宋体"/>
                <w:bCs/>
                <w:snapToGrid w:val="0"/>
                <w:kern w:val="0"/>
                <w:szCs w:val="21"/>
              </w:rPr>
              <w:t>处理。为确保对所有投标人的公开、公平、公正，投标人如果提供网上打印的</w:t>
            </w:r>
            <w:r>
              <w:rPr>
                <w:rFonts w:hint="eastAsia" w:ascii="宋体" w:hAnsi="宋体"/>
                <w:bCs/>
                <w:snapToGrid w:val="0"/>
                <w:kern w:val="0"/>
                <w:szCs w:val="21"/>
              </w:rPr>
              <w:t>养老保险</w:t>
            </w:r>
            <w:r>
              <w:rPr>
                <w:rFonts w:ascii="宋体" w:hAnsi="宋体"/>
                <w:bCs/>
                <w:snapToGrid w:val="0"/>
                <w:kern w:val="0"/>
                <w:szCs w:val="21"/>
              </w:rPr>
              <w:t>证明材料含有电子章且提供了该地区政府或人社局发布的《关于推行参保人员社保证明电子化的通知》相关材料佐证（可不要求为原件，但必须网上能查询文件属实），可视为原件，不需加盖社保</w:t>
            </w:r>
            <w:r>
              <w:rPr>
                <w:rFonts w:hint="eastAsia" w:ascii="宋体" w:hAnsi="宋体"/>
                <w:bCs/>
                <w:snapToGrid w:val="0"/>
                <w:kern w:val="0"/>
                <w:szCs w:val="21"/>
              </w:rPr>
              <w:t>部门公章</w:t>
            </w:r>
            <w:r>
              <w:rPr>
                <w:rFonts w:ascii="宋体" w:hAnsi="宋体"/>
                <w:bCs/>
                <w:snapToGrid w:val="0"/>
                <w:kern w:val="0"/>
                <w:szCs w:val="21"/>
              </w:rPr>
              <w:t>，投标有效，否则</w:t>
            </w:r>
            <w:r>
              <w:rPr>
                <w:rFonts w:hint="eastAsia" w:ascii="宋体" w:hAnsi="宋体"/>
                <w:bCs/>
                <w:snapToGrid w:val="0"/>
                <w:kern w:val="0"/>
                <w:szCs w:val="21"/>
              </w:rPr>
              <w:t>由评标委员会作否决投标</w:t>
            </w:r>
            <w:r>
              <w:rPr>
                <w:rFonts w:ascii="宋体" w:hAnsi="宋体"/>
                <w:bCs/>
                <w:snapToGrid w:val="0"/>
                <w:kern w:val="0"/>
                <w:szCs w:val="21"/>
              </w:rPr>
              <w:t>处理。</w:t>
            </w:r>
          </w:p>
          <w:p>
            <w:pPr>
              <w:snapToGrid w:val="0"/>
              <w:spacing w:line="360" w:lineRule="exact"/>
              <w:ind w:firstLine="210" w:firstLineChars="100"/>
              <w:rPr>
                <w:rFonts w:ascii="宋体" w:cs="宋体"/>
                <w:b/>
                <w:szCs w:val="21"/>
              </w:rPr>
            </w:pPr>
            <w:r>
              <w:rPr>
                <w:rFonts w:hint="eastAsia" w:ascii="宋体" w:hAnsi="宋体"/>
                <w:bCs/>
                <w:snapToGrid w:val="0"/>
                <w:kern w:val="0"/>
                <w:szCs w:val="21"/>
              </w:rPr>
              <w:t>（4）项目经理、技术负责人及主要管理人员按铜府办（2019）19号文件“四同步、四到场”的要求履行到岗职责。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278" w:type="dxa"/>
            <w:vAlign w:val="center"/>
          </w:tcPr>
          <w:p>
            <w:pPr>
              <w:adjustRightInd w:val="0"/>
              <w:snapToGrid w:val="0"/>
              <w:spacing w:line="300" w:lineRule="exact"/>
              <w:jc w:val="center"/>
              <w:rPr>
                <w:rFonts w:ascii="宋体" w:hAnsi="宋体" w:cs="宋体"/>
              </w:rPr>
            </w:pPr>
            <w:r>
              <w:rPr>
                <w:rFonts w:ascii="宋体" w:hAnsi="宋体" w:cs="宋体"/>
              </w:rPr>
              <w:t>1.4.2</w:t>
            </w:r>
          </w:p>
        </w:tc>
        <w:tc>
          <w:tcPr>
            <w:tcW w:w="1664" w:type="dxa"/>
            <w:vAlign w:val="center"/>
          </w:tcPr>
          <w:p>
            <w:pPr>
              <w:adjustRightInd w:val="0"/>
              <w:snapToGrid w:val="0"/>
              <w:spacing w:line="300" w:lineRule="exact"/>
              <w:jc w:val="center"/>
              <w:rPr>
                <w:rFonts w:ascii="宋体" w:hAnsi="宋体" w:cs="宋体"/>
              </w:rPr>
            </w:pPr>
            <w:r>
              <w:rPr>
                <w:rFonts w:hint="eastAsia" w:ascii="宋体" w:hAnsi="宋体" w:cs="宋体"/>
              </w:rPr>
              <w:t>是否接受联合体投标</w:t>
            </w:r>
          </w:p>
        </w:tc>
        <w:tc>
          <w:tcPr>
            <w:tcW w:w="6948" w:type="dxa"/>
            <w:gridSpan w:val="2"/>
            <w:vAlign w:val="center"/>
          </w:tcPr>
          <w:p>
            <w:pPr>
              <w:adjustRightInd w:val="0"/>
              <w:snapToGrid w:val="0"/>
              <w:spacing w:line="300" w:lineRule="exact"/>
              <w:ind w:firstLine="210" w:firstLineChars="100"/>
              <w:rPr>
                <w:rFonts w:ascii="宋体" w:hAnsi="宋体" w:cs="宋体"/>
              </w:rPr>
            </w:pPr>
            <w:r>
              <w:rPr>
                <w:rFonts w:hint="eastAsia" w:ascii="宋体" w:hAnsi="宋体" w:cs="宋体"/>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278" w:type="dxa"/>
            <w:vAlign w:val="center"/>
          </w:tcPr>
          <w:p>
            <w:pPr>
              <w:adjustRightInd w:val="0"/>
              <w:snapToGrid w:val="0"/>
              <w:spacing w:line="300" w:lineRule="exact"/>
              <w:jc w:val="center"/>
              <w:rPr>
                <w:rFonts w:ascii="宋体" w:hAnsi="宋体" w:cs="宋体"/>
              </w:rPr>
            </w:pPr>
            <w:r>
              <w:rPr>
                <w:rFonts w:ascii="宋体" w:hAnsi="宋体" w:cs="宋体"/>
              </w:rPr>
              <w:t>1.9.1</w:t>
            </w:r>
          </w:p>
        </w:tc>
        <w:tc>
          <w:tcPr>
            <w:tcW w:w="1664" w:type="dxa"/>
            <w:vAlign w:val="center"/>
          </w:tcPr>
          <w:p>
            <w:pPr>
              <w:adjustRightInd w:val="0"/>
              <w:snapToGrid w:val="0"/>
              <w:spacing w:line="300" w:lineRule="exact"/>
              <w:jc w:val="center"/>
              <w:rPr>
                <w:rFonts w:ascii="宋体" w:hAnsi="宋体" w:cs="宋体"/>
              </w:rPr>
            </w:pPr>
            <w:r>
              <w:rPr>
                <w:rFonts w:hint="eastAsia" w:ascii="宋体" w:hAnsi="宋体" w:cs="宋体"/>
              </w:rPr>
              <w:t>踏勘现场</w:t>
            </w:r>
          </w:p>
        </w:tc>
        <w:tc>
          <w:tcPr>
            <w:tcW w:w="6948" w:type="dxa"/>
            <w:gridSpan w:val="2"/>
            <w:vAlign w:val="center"/>
          </w:tcPr>
          <w:p>
            <w:pPr>
              <w:adjustRightInd w:val="0"/>
              <w:snapToGrid w:val="0"/>
              <w:spacing w:line="300" w:lineRule="exact"/>
              <w:ind w:firstLine="210" w:firstLineChars="100"/>
              <w:rPr>
                <w:rFonts w:ascii="宋体" w:hAnsi="宋体" w:cs="宋体"/>
              </w:rPr>
            </w:pPr>
            <w:r>
              <w:rPr>
                <w:rFonts w:hint="eastAsia" w:ascii="宋体" w:hAnsi="宋体" w:cs="宋体"/>
              </w:rPr>
              <w:t>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78" w:type="dxa"/>
            <w:vAlign w:val="center"/>
          </w:tcPr>
          <w:p>
            <w:pPr>
              <w:adjustRightInd w:val="0"/>
              <w:snapToGrid w:val="0"/>
              <w:spacing w:line="300" w:lineRule="exact"/>
              <w:jc w:val="center"/>
              <w:rPr>
                <w:rFonts w:ascii="宋体" w:hAnsi="宋体" w:cs="宋体"/>
              </w:rPr>
            </w:pPr>
            <w:r>
              <w:rPr>
                <w:rFonts w:ascii="宋体" w:hAnsi="宋体" w:cs="宋体"/>
              </w:rPr>
              <w:t>1.10.1</w:t>
            </w:r>
          </w:p>
        </w:tc>
        <w:tc>
          <w:tcPr>
            <w:tcW w:w="1664" w:type="dxa"/>
            <w:vAlign w:val="center"/>
          </w:tcPr>
          <w:p>
            <w:pPr>
              <w:adjustRightInd w:val="0"/>
              <w:snapToGrid w:val="0"/>
              <w:spacing w:line="300" w:lineRule="exact"/>
              <w:jc w:val="center"/>
              <w:rPr>
                <w:rFonts w:ascii="宋体" w:hAnsi="宋体" w:cs="宋体"/>
              </w:rPr>
            </w:pPr>
            <w:r>
              <w:rPr>
                <w:rFonts w:hint="eastAsia" w:ascii="宋体" w:hAnsi="宋体" w:cs="宋体"/>
              </w:rPr>
              <w:t>竟标预备会</w:t>
            </w:r>
          </w:p>
        </w:tc>
        <w:tc>
          <w:tcPr>
            <w:tcW w:w="6948" w:type="dxa"/>
            <w:gridSpan w:val="2"/>
            <w:vAlign w:val="center"/>
          </w:tcPr>
          <w:p>
            <w:pPr>
              <w:adjustRightInd w:val="0"/>
              <w:snapToGrid w:val="0"/>
              <w:spacing w:line="300" w:lineRule="exact"/>
              <w:ind w:firstLine="210" w:firstLineChars="100"/>
              <w:rPr>
                <w:rFonts w:ascii="宋体" w:hAnsi="宋体" w:cs="宋体"/>
              </w:rPr>
            </w:pPr>
            <w:r>
              <w:rPr>
                <w:rFonts w:hint="eastAsia" w:ascii="宋体" w:hAnsi="宋体" w:cs="宋体"/>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278" w:type="dxa"/>
            <w:vAlign w:val="center"/>
          </w:tcPr>
          <w:p>
            <w:pPr>
              <w:adjustRightInd w:val="0"/>
              <w:snapToGrid w:val="0"/>
              <w:spacing w:line="300" w:lineRule="exact"/>
              <w:jc w:val="center"/>
              <w:rPr>
                <w:rFonts w:ascii="宋体" w:hAnsi="宋体" w:cs="宋体"/>
              </w:rPr>
            </w:pPr>
            <w:r>
              <w:rPr>
                <w:rFonts w:hint="eastAsia" w:ascii="宋体" w:hAnsi="宋体" w:cs="宋体"/>
              </w:rPr>
              <w:t>1.10.2</w:t>
            </w:r>
          </w:p>
        </w:tc>
        <w:tc>
          <w:tcPr>
            <w:tcW w:w="1664" w:type="dxa"/>
            <w:vAlign w:val="center"/>
          </w:tcPr>
          <w:p>
            <w:pPr>
              <w:adjustRightInd w:val="0"/>
              <w:snapToGrid w:val="0"/>
              <w:spacing w:line="300" w:lineRule="exact"/>
              <w:jc w:val="center"/>
              <w:rPr>
                <w:rFonts w:ascii="宋体" w:hAnsi="宋体" w:cs="宋体"/>
              </w:rPr>
            </w:pPr>
            <w:r>
              <w:rPr>
                <w:rFonts w:hint="eastAsia" w:ascii="宋体" w:hAnsi="宋体" w:cs="宋体"/>
              </w:rPr>
              <w:t>投标人提出问题的截止时间</w:t>
            </w:r>
          </w:p>
        </w:tc>
        <w:tc>
          <w:tcPr>
            <w:tcW w:w="6948" w:type="dxa"/>
            <w:gridSpan w:val="2"/>
            <w:vAlign w:val="center"/>
          </w:tcPr>
          <w:p>
            <w:pPr>
              <w:adjustRightInd w:val="0"/>
              <w:snapToGrid w:val="0"/>
              <w:spacing w:line="300" w:lineRule="exact"/>
              <w:ind w:firstLine="211" w:firstLineChars="100"/>
              <w:rPr>
                <w:rFonts w:ascii="宋体" w:hAnsi="宋体" w:cs="宋体"/>
              </w:rPr>
            </w:pPr>
            <w:r>
              <w:rPr>
                <w:rFonts w:hint="eastAsia" w:ascii="宋体" w:hAnsi="宋体" w:cs="宋体"/>
                <w:b/>
                <w:bCs/>
                <w:u w:val="single"/>
              </w:rPr>
              <w:t>2021</w:t>
            </w:r>
            <w:r>
              <w:rPr>
                <w:rFonts w:hint="eastAsia" w:ascii="宋体" w:hAnsi="宋体" w:cs="宋体"/>
              </w:rPr>
              <w:t>年</w:t>
            </w:r>
            <w:r>
              <w:rPr>
                <w:rFonts w:hint="eastAsia" w:ascii="宋体" w:hAnsi="宋体" w:cs="宋体"/>
                <w:u w:val="single"/>
                <w:lang w:val="en-US" w:eastAsia="zh-CN"/>
              </w:rPr>
              <w:t>4</w:t>
            </w:r>
            <w:r>
              <w:rPr>
                <w:rFonts w:hint="eastAsia" w:ascii="宋体" w:hAnsi="宋体" w:cs="宋体"/>
              </w:rPr>
              <w:t>月</w:t>
            </w:r>
            <w:r>
              <w:rPr>
                <w:rFonts w:hint="eastAsia" w:ascii="宋体" w:hAnsi="宋体" w:cs="宋体"/>
                <w:u w:val="single"/>
                <w:lang w:val="en-US" w:eastAsia="zh-CN"/>
              </w:rPr>
              <w:t>26</w:t>
            </w:r>
            <w:r>
              <w:rPr>
                <w:rFonts w:hint="eastAsia" w:ascii="宋体" w:hAnsi="宋体" w:cs="宋体"/>
              </w:rPr>
              <w:t>日</w:t>
            </w:r>
            <w:r>
              <w:rPr>
                <w:rFonts w:hint="eastAsia" w:ascii="宋体" w:hAnsi="宋体" w:cs="宋体"/>
                <w:b/>
                <w:bCs/>
              </w:rPr>
              <w:t>17</w:t>
            </w:r>
            <w:r>
              <w:rPr>
                <w:rFonts w:hint="eastAsia" w:ascii="宋体" w:hAnsi="宋体" w:cs="宋体"/>
                <w:u w:val="single"/>
              </w:rPr>
              <w:t xml:space="preserve"> </w:t>
            </w:r>
            <w:r>
              <w:rPr>
                <w:rFonts w:hint="eastAsia" w:ascii="宋体" w:hAnsi="宋体" w:cs="宋体"/>
              </w:rPr>
              <w:t>时</w:t>
            </w:r>
            <w:r>
              <w:rPr>
                <w:rFonts w:hint="eastAsia" w:ascii="宋体" w:hAnsi="宋体" w:cs="宋体"/>
                <w:b/>
                <w:bCs/>
                <w:u w:val="single"/>
              </w:rPr>
              <w:t>00</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278" w:type="dxa"/>
            <w:vAlign w:val="center"/>
          </w:tcPr>
          <w:p>
            <w:pPr>
              <w:adjustRightInd w:val="0"/>
              <w:snapToGrid w:val="0"/>
              <w:spacing w:line="300" w:lineRule="exact"/>
              <w:jc w:val="center"/>
              <w:rPr>
                <w:rFonts w:ascii="宋体" w:hAnsi="宋体" w:cs="宋体"/>
              </w:rPr>
            </w:pPr>
            <w:r>
              <w:rPr>
                <w:rFonts w:hint="eastAsia" w:ascii="宋体" w:hAnsi="宋体" w:cs="宋体"/>
              </w:rPr>
              <w:t>1.10.3</w:t>
            </w:r>
          </w:p>
        </w:tc>
        <w:tc>
          <w:tcPr>
            <w:tcW w:w="1664" w:type="dxa"/>
            <w:vAlign w:val="center"/>
          </w:tcPr>
          <w:p>
            <w:pPr>
              <w:adjustRightInd w:val="0"/>
              <w:snapToGrid w:val="0"/>
              <w:spacing w:line="300" w:lineRule="exact"/>
              <w:jc w:val="center"/>
              <w:rPr>
                <w:rFonts w:ascii="宋体" w:hAnsi="宋体" w:cs="宋体"/>
              </w:rPr>
            </w:pPr>
            <w:r>
              <w:rPr>
                <w:rFonts w:hint="eastAsia" w:ascii="宋体" w:hAnsi="宋体" w:cs="宋体"/>
              </w:rPr>
              <w:t>招标人书面澄清的时间</w:t>
            </w:r>
          </w:p>
        </w:tc>
        <w:tc>
          <w:tcPr>
            <w:tcW w:w="6948" w:type="dxa"/>
            <w:gridSpan w:val="2"/>
            <w:vAlign w:val="center"/>
          </w:tcPr>
          <w:p>
            <w:pPr>
              <w:adjustRightInd w:val="0"/>
              <w:snapToGrid w:val="0"/>
              <w:spacing w:line="300" w:lineRule="exact"/>
              <w:ind w:firstLine="211" w:firstLineChars="100"/>
              <w:rPr>
                <w:rFonts w:ascii="宋体" w:hAnsi="宋体" w:cs="宋体"/>
              </w:rPr>
            </w:pPr>
            <w:r>
              <w:rPr>
                <w:rFonts w:hint="eastAsia" w:ascii="宋体" w:hAnsi="宋体" w:cs="宋体"/>
                <w:b/>
                <w:bCs/>
                <w:u w:val="single"/>
              </w:rPr>
              <w:t>2021</w:t>
            </w:r>
            <w:r>
              <w:rPr>
                <w:rFonts w:hint="eastAsia" w:ascii="宋体" w:hAnsi="宋体" w:cs="宋体"/>
              </w:rPr>
              <w:t>年</w:t>
            </w:r>
            <w:r>
              <w:rPr>
                <w:rFonts w:hint="eastAsia" w:ascii="宋体" w:hAnsi="宋体" w:cs="宋体"/>
                <w:b/>
                <w:bCs/>
                <w:u w:val="single"/>
                <w:lang w:val="en-US" w:eastAsia="zh-CN"/>
              </w:rPr>
              <w:t>4</w:t>
            </w:r>
            <w:r>
              <w:rPr>
                <w:rFonts w:hint="eastAsia" w:ascii="宋体" w:hAnsi="宋体" w:cs="宋体"/>
              </w:rPr>
              <w:t>月</w:t>
            </w:r>
            <w:r>
              <w:rPr>
                <w:rFonts w:hint="eastAsia" w:ascii="宋体" w:hAnsi="宋体" w:cs="宋体"/>
                <w:b/>
                <w:bCs/>
                <w:u w:val="single"/>
                <w:lang w:val="en-US" w:eastAsia="zh-CN"/>
              </w:rPr>
              <w:t>27</w:t>
            </w:r>
            <w:r>
              <w:rPr>
                <w:rFonts w:hint="eastAsia" w:ascii="宋体" w:hAnsi="宋体" w:cs="宋体"/>
              </w:rPr>
              <w:t>日</w:t>
            </w:r>
            <w:r>
              <w:rPr>
                <w:rFonts w:hint="eastAsia" w:ascii="宋体" w:hAnsi="宋体" w:cs="宋体"/>
                <w:b/>
                <w:bCs/>
              </w:rPr>
              <w:t xml:space="preserve"> </w:t>
            </w:r>
            <w:r>
              <w:rPr>
                <w:rFonts w:hint="eastAsia" w:ascii="宋体" w:hAnsi="宋体" w:cs="宋体"/>
                <w:b/>
                <w:bCs/>
                <w:u w:val="single"/>
              </w:rPr>
              <w:t>17</w:t>
            </w:r>
            <w:r>
              <w:rPr>
                <w:rFonts w:hint="eastAsia" w:ascii="宋体" w:hAnsi="宋体" w:cs="宋体"/>
              </w:rPr>
              <w:t>时</w:t>
            </w:r>
            <w:r>
              <w:rPr>
                <w:rFonts w:hint="eastAsia" w:ascii="宋体" w:hAnsi="宋体" w:cs="宋体"/>
                <w:b/>
                <w:bCs/>
                <w:u w:val="single"/>
              </w:rPr>
              <w:t xml:space="preserve"> 00</w:t>
            </w:r>
            <w:r>
              <w:rPr>
                <w:rFonts w:hint="eastAsia" w:ascii="宋体" w:hAnsi="宋体" w:cs="宋体"/>
              </w:rPr>
              <w:t>分前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78" w:type="dxa"/>
            <w:vAlign w:val="center"/>
          </w:tcPr>
          <w:p>
            <w:pPr>
              <w:adjustRightInd w:val="0"/>
              <w:snapToGrid w:val="0"/>
              <w:spacing w:line="300" w:lineRule="exact"/>
              <w:jc w:val="center"/>
              <w:rPr>
                <w:rFonts w:ascii="宋体" w:hAnsi="宋体" w:cs="宋体"/>
              </w:rPr>
            </w:pPr>
            <w:r>
              <w:rPr>
                <w:rFonts w:hint="eastAsia" w:ascii="宋体" w:hAnsi="宋体" w:cs="宋体"/>
              </w:rPr>
              <w:t>1.11</w:t>
            </w:r>
          </w:p>
        </w:tc>
        <w:tc>
          <w:tcPr>
            <w:tcW w:w="1664" w:type="dxa"/>
            <w:vAlign w:val="center"/>
          </w:tcPr>
          <w:p>
            <w:pPr>
              <w:adjustRightInd w:val="0"/>
              <w:snapToGrid w:val="0"/>
              <w:spacing w:line="300" w:lineRule="exact"/>
              <w:jc w:val="center"/>
              <w:rPr>
                <w:rFonts w:ascii="宋体" w:hAnsi="宋体" w:cs="宋体"/>
              </w:rPr>
            </w:pPr>
            <w:r>
              <w:rPr>
                <w:rFonts w:hint="eastAsia" w:ascii="宋体" w:hAnsi="宋体" w:cs="宋体"/>
              </w:rPr>
              <w:t xml:space="preserve"> 分包</w:t>
            </w:r>
          </w:p>
        </w:tc>
        <w:tc>
          <w:tcPr>
            <w:tcW w:w="6948" w:type="dxa"/>
            <w:gridSpan w:val="2"/>
            <w:vAlign w:val="center"/>
          </w:tcPr>
          <w:p>
            <w:pPr>
              <w:adjustRightInd w:val="0"/>
              <w:snapToGrid w:val="0"/>
              <w:spacing w:line="300" w:lineRule="exact"/>
              <w:ind w:firstLine="210" w:firstLineChars="100"/>
              <w:rPr>
                <w:rFonts w:ascii="宋体" w:hAnsi="宋体" w:cs="宋体"/>
              </w:rPr>
            </w:pPr>
            <w:r>
              <w:rPr>
                <w:rFonts w:hint="eastAsia" w:ascii="宋体" w:hAnsi="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78" w:type="dxa"/>
            <w:vAlign w:val="center"/>
          </w:tcPr>
          <w:p>
            <w:pPr>
              <w:adjustRightInd w:val="0"/>
              <w:snapToGrid w:val="0"/>
              <w:spacing w:line="300" w:lineRule="exact"/>
              <w:jc w:val="center"/>
              <w:rPr>
                <w:rFonts w:ascii="宋体" w:hAnsi="宋体" w:cs="宋体"/>
              </w:rPr>
            </w:pPr>
            <w:r>
              <w:rPr>
                <w:rFonts w:hint="eastAsia" w:ascii="宋体" w:hAnsi="宋体" w:cs="宋体"/>
              </w:rPr>
              <w:t>2.1</w:t>
            </w:r>
          </w:p>
        </w:tc>
        <w:tc>
          <w:tcPr>
            <w:tcW w:w="1664" w:type="dxa"/>
            <w:vAlign w:val="center"/>
          </w:tcPr>
          <w:p>
            <w:pPr>
              <w:adjustRightInd w:val="0"/>
              <w:snapToGrid w:val="0"/>
              <w:spacing w:line="300" w:lineRule="exact"/>
              <w:jc w:val="center"/>
              <w:rPr>
                <w:rFonts w:ascii="宋体" w:hAnsi="宋体" w:cs="宋体"/>
              </w:rPr>
            </w:pPr>
            <w:r>
              <w:rPr>
                <w:rFonts w:hint="eastAsia" w:ascii="宋体" w:hAnsi="宋体" w:cs="宋体"/>
              </w:rPr>
              <w:t>构成比选文件的其他材料</w:t>
            </w:r>
          </w:p>
        </w:tc>
        <w:tc>
          <w:tcPr>
            <w:tcW w:w="6948" w:type="dxa"/>
            <w:gridSpan w:val="2"/>
            <w:vAlign w:val="center"/>
          </w:tcPr>
          <w:p>
            <w:pPr>
              <w:adjustRightInd w:val="0"/>
              <w:snapToGrid w:val="0"/>
              <w:spacing w:line="300" w:lineRule="exact"/>
              <w:ind w:firstLine="210" w:firstLineChars="100"/>
              <w:rPr>
                <w:rFonts w:ascii="宋体" w:hAnsi="宋体" w:cs="宋体"/>
              </w:rPr>
            </w:pPr>
            <w:r>
              <w:rPr>
                <w:rFonts w:hint="eastAsia" w:ascii="宋体" w:hAnsi="宋体" w:cs="宋体"/>
              </w:rPr>
              <w:t>比选人在重庆绅鹏实业开发有限公司官网（www.cqshenpeng.com）上发出的补遗书及答疑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1278" w:type="dxa"/>
            <w:vAlign w:val="center"/>
          </w:tcPr>
          <w:p>
            <w:pPr>
              <w:snapToGrid w:val="0"/>
              <w:spacing w:line="360" w:lineRule="auto"/>
              <w:jc w:val="center"/>
              <w:rPr>
                <w:rFonts w:ascii="宋体" w:hAnsi="宋体" w:cs="宋体"/>
                <w:kern w:val="0"/>
                <w:szCs w:val="21"/>
              </w:rPr>
            </w:pPr>
            <w:r>
              <w:rPr>
                <w:rFonts w:hint="eastAsia" w:ascii="宋体" w:hAnsi="宋体" w:cs="宋体"/>
                <w:kern w:val="0"/>
                <w:szCs w:val="21"/>
              </w:rPr>
              <w:t>2.2.1</w:t>
            </w:r>
          </w:p>
        </w:tc>
        <w:tc>
          <w:tcPr>
            <w:tcW w:w="1664" w:type="dxa"/>
            <w:vAlign w:val="center"/>
          </w:tcPr>
          <w:p>
            <w:pPr>
              <w:snapToGrid w:val="0"/>
              <w:spacing w:line="360" w:lineRule="auto"/>
              <w:jc w:val="center"/>
              <w:rPr>
                <w:rFonts w:ascii="宋体" w:hAnsi="宋体" w:cs="宋体"/>
                <w:kern w:val="0"/>
                <w:szCs w:val="21"/>
              </w:rPr>
            </w:pPr>
            <w:r>
              <w:rPr>
                <w:rFonts w:hint="eastAsia" w:ascii="宋体" w:hAnsi="宋体" w:cs="宋体"/>
                <w:kern w:val="0"/>
                <w:szCs w:val="21"/>
              </w:rPr>
              <w:t>投标人要求澄清比选文件的截止时间</w:t>
            </w:r>
          </w:p>
        </w:tc>
        <w:tc>
          <w:tcPr>
            <w:tcW w:w="6948" w:type="dxa"/>
            <w:gridSpan w:val="2"/>
            <w:vAlign w:val="center"/>
          </w:tcPr>
          <w:p>
            <w:pPr>
              <w:snapToGrid w:val="0"/>
              <w:spacing w:line="360" w:lineRule="auto"/>
              <w:ind w:firstLine="210" w:firstLineChars="100"/>
              <w:jc w:val="left"/>
              <w:rPr>
                <w:rFonts w:ascii="宋体" w:hAnsi="宋体" w:cs="宋体"/>
                <w:kern w:val="0"/>
                <w:szCs w:val="21"/>
              </w:rPr>
            </w:pPr>
            <w:r>
              <w:rPr>
                <w:rFonts w:hint="eastAsia" w:ascii="宋体" w:hAnsi="宋体" w:cs="宋体"/>
                <w:kern w:val="0"/>
                <w:szCs w:val="21"/>
              </w:rPr>
              <w:t>投标人在收到比选文件后，应仔细检查比选文件的所有内容，如有文字表述不清，图纸尺寸标注不明以及存在错、碰、漏、缺、概念模糊和有可能出现歧义或理解上的偏差的内容等应在</w:t>
            </w:r>
            <w:r>
              <w:rPr>
                <w:rFonts w:hint="eastAsia" w:ascii="宋体" w:hAnsi="宋体" w:cs="宋体"/>
                <w:b/>
                <w:bCs/>
                <w:u w:val="single"/>
              </w:rPr>
              <w:t>2021</w:t>
            </w:r>
            <w:r>
              <w:rPr>
                <w:rFonts w:hint="eastAsia" w:ascii="宋体" w:hAnsi="宋体" w:cs="宋体"/>
              </w:rPr>
              <w:t>年</w:t>
            </w:r>
            <w:r>
              <w:rPr>
                <w:rFonts w:hint="eastAsia" w:ascii="宋体" w:hAnsi="宋体" w:cs="宋体"/>
                <w:u w:val="single"/>
                <w:lang w:val="en-US" w:eastAsia="zh-CN"/>
              </w:rPr>
              <w:t>4</w:t>
            </w:r>
            <w:r>
              <w:rPr>
                <w:rFonts w:hint="eastAsia" w:ascii="宋体" w:hAnsi="宋体" w:cs="宋体"/>
              </w:rPr>
              <w:t>月</w:t>
            </w:r>
            <w:r>
              <w:rPr>
                <w:rFonts w:hint="eastAsia" w:ascii="宋体" w:hAnsi="宋体" w:cs="宋体"/>
                <w:u w:val="single"/>
                <w:lang w:val="en-US" w:eastAsia="zh-CN"/>
              </w:rPr>
              <w:t>26</w:t>
            </w:r>
            <w:r>
              <w:rPr>
                <w:rFonts w:hint="eastAsia" w:ascii="宋体" w:hAnsi="宋体" w:cs="宋体"/>
              </w:rPr>
              <w:t>日</w:t>
            </w:r>
            <w:r>
              <w:rPr>
                <w:rFonts w:hint="eastAsia" w:ascii="宋体" w:hAnsi="宋体" w:cs="宋体"/>
                <w:kern w:val="0"/>
                <w:szCs w:val="21"/>
                <w:u w:val="single"/>
              </w:rPr>
              <w:t xml:space="preserve"> </w:t>
            </w:r>
            <w:r>
              <w:rPr>
                <w:rFonts w:hint="eastAsia" w:ascii="宋体" w:hAnsi="宋体" w:cs="宋体"/>
                <w:b/>
                <w:bCs/>
                <w:kern w:val="0"/>
                <w:szCs w:val="21"/>
                <w:u w:val="single"/>
              </w:rPr>
              <w:t xml:space="preserve">17 </w:t>
            </w:r>
            <w:r>
              <w:rPr>
                <w:rFonts w:hint="eastAsia" w:ascii="宋体" w:hAnsi="宋体" w:cs="宋体"/>
                <w:kern w:val="0"/>
                <w:szCs w:val="21"/>
                <w:u w:val="single"/>
              </w:rPr>
              <w:t>时</w:t>
            </w:r>
            <w:r>
              <w:rPr>
                <w:rFonts w:hint="eastAsia" w:ascii="宋体" w:hAnsi="宋体" w:cs="宋体"/>
                <w:b/>
                <w:bCs/>
                <w:kern w:val="0"/>
                <w:szCs w:val="21"/>
                <w:u w:val="single"/>
              </w:rPr>
              <w:t>00</w:t>
            </w:r>
            <w:r>
              <w:rPr>
                <w:rFonts w:hint="eastAsia" w:ascii="宋体" w:hAnsi="宋体" w:cs="宋体"/>
                <w:kern w:val="0"/>
                <w:szCs w:val="21"/>
                <w:u w:val="single"/>
              </w:rPr>
              <w:t xml:space="preserve"> 分</w:t>
            </w:r>
            <w:r>
              <w:rPr>
                <w:rFonts w:hint="eastAsia" w:ascii="宋体" w:hAnsi="宋体" w:cs="宋体"/>
                <w:kern w:val="0"/>
                <w:szCs w:val="21"/>
              </w:rPr>
              <w:t>前</w:t>
            </w:r>
            <w:r>
              <w:rPr>
                <w:rFonts w:hint="eastAsia" w:ascii="宋体" w:hAnsi="宋体" w:cs="宋体"/>
                <w:snapToGrid w:val="0"/>
                <w:kern w:val="0"/>
              </w:rPr>
              <w:t>以匿名传真的形式将问题传真至招标代理机构。</w:t>
            </w:r>
            <w:r>
              <w:rPr>
                <w:rFonts w:hint="eastAsia" w:ascii="宋体" w:hAnsi="宋体" w:cs="宋体"/>
                <w:bCs/>
                <w:snapToGrid w:val="0"/>
                <w:kern w:val="0"/>
              </w:rPr>
              <w:t>（传真</w:t>
            </w:r>
            <w:r>
              <w:rPr>
                <w:rFonts w:hint="eastAsia" w:ascii="宋体" w:hAnsi="宋体" w:cs="宋体"/>
                <w:b/>
                <w:snapToGrid w:val="0"/>
                <w:kern w:val="0"/>
              </w:rPr>
              <w:t>：</w:t>
            </w:r>
            <w:r>
              <w:rPr>
                <w:rFonts w:hint="eastAsia" w:ascii="宋体" w:hAnsi="宋体" w:cs="宋体"/>
                <w:b/>
                <w:kern w:val="0"/>
                <w:szCs w:val="21"/>
              </w:rPr>
              <w:t>023-45678150</w:t>
            </w:r>
            <w:r>
              <w:rPr>
                <w:rFonts w:hint="eastAsia" w:ascii="宋体" w:hAnsi="宋体" w:cs="宋体"/>
                <w:bCs/>
                <w:snapToGrid w:val="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278" w:type="dxa"/>
            <w:vAlign w:val="center"/>
          </w:tcPr>
          <w:p>
            <w:pPr>
              <w:adjustRightInd w:val="0"/>
              <w:snapToGrid w:val="0"/>
              <w:spacing w:line="300" w:lineRule="exact"/>
              <w:jc w:val="center"/>
              <w:rPr>
                <w:rFonts w:ascii="宋体" w:hAnsi="宋体" w:cs="宋体"/>
              </w:rPr>
            </w:pPr>
            <w:r>
              <w:rPr>
                <w:rFonts w:hint="eastAsia" w:ascii="宋体" w:hAnsi="宋体" w:cs="宋体"/>
              </w:rPr>
              <w:t xml:space="preserve">    2.2.2</w:t>
            </w:r>
          </w:p>
        </w:tc>
        <w:tc>
          <w:tcPr>
            <w:tcW w:w="1664" w:type="dxa"/>
            <w:vAlign w:val="center"/>
          </w:tcPr>
          <w:p>
            <w:pPr>
              <w:adjustRightInd w:val="0"/>
              <w:snapToGrid w:val="0"/>
              <w:spacing w:line="300" w:lineRule="exact"/>
              <w:jc w:val="center"/>
              <w:rPr>
                <w:rFonts w:ascii="宋体" w:hAnsi="宋体" w:cs="宋体"/>
              </w:rPr>
            </w:pPr>
            <w:r>
              <w:rPr>
                <w:rFonts w:hint="eastAsia" w:ascii="宋体" w:hAnsi="宋体" w:cs="宋体"/>
              </w:rPr>
              <w:t>投标文件递交及截止时间</w:t>
            </w:r>
          </w:p>
        </w:tc>
        <w:tc>
          <w:tcPr>
            <w:tcW w:w="6948" w:type="dxa"/>
            <w:gridSpan w:val="2"/>
            <w:vAlign w:val="center"/>
          </w:tcPr>
          <w:p>
            <w:pPr>
              <w:adjustRightInd w:val="0"/>
              <w:snapToGrid w:val="0"/>
              <w:spacing w:line="300" w:lineRule="exact"/>
              <w:jc w:val="left"/>
              <w:rPr>
                <w:rFonts w:ascii="宋体" w:hAnsi="宋体" w:cs="宋体"/>
              </w:rPr>
            </w:pPr>
            <w:r>
              <w:rPr>
                <w:rFonts w:hint="eastAsia" w:ascii="宋体" w:hAnsi="宋体" w:cs="宋体"/>
              </w:rPr>
              <w:t xml:space="preserve">  递交时间:</w:t>
            </w:r>
            <w:r>
              <w:rPr>
                <w:rFonts w:hint="eastAsia" w:ascii="宋体" w:hAnsi="宋体" w:cs="宋体"/>
                <w:szCs w:val="22"/>
              </w:rPr>
              <w:t>2021年</w:t>
            </w:r>
            <w:r>
              <w:rPr>
                <w:rFonts w:hint="eastAsia" w:ascii="宋体" w:hAnsi="宋体" w:cs="宋体"/>
                <w:szCs w:val="22"/>
                <w:lang w:val="en-US" w:eastAsia="zh-CN"/>
              </w:rPr>
              <w:t>4</w:t>
            </w:r>
            <w:r>
              <w:rPr>
                <w:rFonts w:hint="eastAsia" w:ascii="宋体" w:hAnsi="宋体" w:cs="宋体"/>
                <w:szCs w:val="22"/>
              </w:rPr>
              <w:t>月</w:t>
            </w:r>
            <w:r>
              <w:rPr>
                <w:rFonts w:hint="eastAsia" w:ascii="宋体" w:hAnsi="宋体" w:cs="宋体"/>
                <w:szCs w:val="22"/>
                <w:lang w:val="en-US" w:eastAsia="zh-CN"/>
              </w:rPr>
              <w:t>29</w:t>
            </w:r>
            <w:r>
              <w:rPr>
                <w:rFonts w:hint="eastAsia" w:ascii="宋体" w:hAnsi="宋体" w:cs="宋体"/>
                <w:szCs w:val="22"/>
              </w:rPr>
              <w:t>日 9 时00分至2021年</w:t>
            </w:r>
            <w:r>
              <w:rPr>
                <w:rFonts w:hint="eastAsia" w:ascii="宋体" w:hAnsi="宋体" w:cs="宋体"/>
                <w:szCs w:val="22"/>
                <w:lang w:val="en-US" w:eastAsia="zh-CN"/>
              </w:rPr>
              <w:t>4</w:t>
            </w:r>
            <w:r>
              <w:rPr>
                <w:rFonts w:hint="eastAsia" w:ascii="宋体" w:hAnsi="宋体" w:cs="宋体"/>
                <w:szCs w:val="22"/>
              </w:rPr>
              <w:t>月</w:t>
            </w:r>
            <w:r>
              <w:rPr>
                <w:rFonts w:hint="eastAsia" w:ascii="宋体" w:hAnsi="宋体" w:cs="宋体"/>
                <w:szCs w:val="22"/>
                <w:lang w:val="en-US" w:eastAsia="zh-CN"/>
              </w:rPr>
              <w:t>29</w:t>
            </w:r>
            <w:r>
              <w:rPr>
                <w:rFonts w:hint="eastAsia" w:ascii="宋体" w:hAnsi="宋体" w:cs="宋体"/>
                <w:szCs w:val="22"/>
              </w:rPr>
              <w:t>日9时30分(北京时间)；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278" w:type="dxa"/>
            <w:vAlign w:val="center"/>
          </w:tcPr>
          <w:p>
            <w:pPr>
              <w:snapToGrid w:val="0"/>
              <w:spacing w:line="300" w:lineRule="auto"/>
              <w:jc w:val="center"/>
              <w:rPr>
                <w:rFonts w:ascii="宋体" w:cs="仿宋"/>
                <w:kern w:val="0"/>
                <w:szCs w:val="21"/>
              </w:rPr>
            </w:pPr>
            <w:r>
              <w:rPr>
                <w:rFonts w:ascii="宋体" w:cs="仿宋"/>
                <w:kern w:val="0"/>
                <w:szCs w:val="21"/>
              </w:rPr>
              <w:t>3.2</w:t>
            </w:r>
          </w:p>
        </w:tc>
        <w:tc>
          <w:tcPr>
            <w:tcW w:w="1664" w:type="dxa"/>
            <w:vAlign w:val="center"/>
          </w:tcPr>
          <w:p>
            <w:pPr>
              <w:snapToGrid w:val="0"/>
              <w:spacing w:line="300" w:lineRule="auto"/>
              <w:jc w:val="center"/>
              <w:rPr>
                <w:rFonts w:ascii="宋体" w:cs="仿宋"/>
                <w:kern w:val="0"/>
                <w:szCs w:val="21"/>
              </w:rPr>
            </w:pPr>
            <w:r>
              <w:rPr>
                <w:rFonts w:hint="eastAsia" w:ascii="宋体" w:cs="仿宋"/>
                <w:kern w:val="0"/>
                <w:szCs w:val="21"/>
              </w:rPr>
              <w:t>投标报价</w:t>
            </w:r>
          </w:p>
        </w:tc>
        <w:tc>
          <w:tcPr>
            <w:tcW w:w="6948" w:type="dxa"/>
            <w:gridSpan w:val="2"/>
            <w:vAlign w:val="center"/>
          </w:tcPr>
          <w:p>
            <w:pPr>
              <w:pStyle w:val="2"/>
              <w:tabs>
                <w:tab w:val="left" w:pos="546"/>
                <w:tab w:val="left" w:pos="711"/>
              </w:tabs>
              <w:snapToGrid w:val="0"/>
              <w:spacing w:after="0" w:line="360" w:lineRule="exact"/>
              <w:ind w:firstLine="420" w:firstLineChars="200"/>
              <w:rPr>
                <w:rFonts w:ascii="宋体" w:hAnsi="宋体" w:cs="宋体"/>
                <w:szCs w:val="21"/>
              </w:rPr>
            </w:pPr>
            <w:r>
              <w:rPr>
                <w:rFonts w:ascii="宋体" w:hAnsi="宋体"/>
                <w:szCs w:val="21"/>
              </w:rPr>
              <w:t>1.</w:t>
            </w:r>
            <w:r>
              <w:rPr>
                <w:rFonts w:hint="eastAsia" w:ascii="宋体" w:hAnsi="宋体" w:cs="宋体"/>
                <w:szCs w:val="21"/>
              </w:rPr>
              <w:t>使用国有资金投资的建设工程发承包，必须采用工程量清单计价。工程量清单应采用综合单价计价。</w:t>
            </w:r>
          </w:p>
          <w:p>
            <w:pPr>
              <w:pStyle w:val="2"/>
              <w:tabs>
                <w:tab w:val="left" w:pos="546"/>
                <w:tab w:val="left" w:pos="711"/>
              </w:tabs>
              <w:snapToGrid w:val="0"/>
              <w:spacing w:after="0" w:line="360" w:lineRule="exact"/>
              <w:ind w:left="6" w:leftChars="3" w:firstLine="420" w:firstLineChars="200"/>
              <w:rPr>
                <w:rFonts w:ascii="宋体" w:hAnsi="宋体" w:cs="宋体"/>
                <w:szCs w:val="21"/>
              </w:rPr>
            </w:pPr>
            <w:r>
              <w:rPr>
                <w:rFonts w:ascii="宋体" w:hAnsi="宋体" w:cs="宋体"/>
                <w:szCs w:val="21"/>
              </w:rPr>
              <w:t>2.</w:t>
            </w:r>
            <w:r>
              <w:rPr>
                <w:rFonts w:hint="eastAsia" w:ascii="宋体" w:hAnsi="宋体" w:cs="宋体"/>
                <w:szCs w:val="21"/>
              </w:rPr>
              <w:t>投标人应按《建设工程工程量清单计价规范》（GB50500-2013）及重庆市相关工程量清单计价规则的要求填写相应清单表格。投标人应按本须知、《重庆市建设工程费用定额》（CQFYDE-2018）、《重庆市城乡建设委员会关于适用增值税新税率调整建设工程计价依据的通知》（渝建〔2019〕143号）和第五章“工程量清单”的要求填写相应清单表格。投标人的投标报价应是本章投标人须知前附表1.3.1项中所述的本工程合同段招标范围内的全部工程的投标报价，并以投标人在工程量清单中提出的单价或总价</w:t>
            </w:r>
            <w:r>
              <w:rPr>
                <w:rFonts w:ascii="宋体" w:hAnsi="宋体" w:cs="宋体"/>
                <w:szCs w:val="21"/>
              </w:rPr>
              <w:footnoteReference w:id="0"/>
            </w:r>
            <w:r>
              <w:rPr>
                <w:rFonts w:hint="eastAsia" w:ascii="宋体" w:hAnsi="宋体" w:cs="宋体"/>
                <w:szCs w:val="21"/>
              </w:rPr>
              <w:t>为依据。</w:t>
            </w:r>
          </w:p>
          <w:p>
            <w:pPr>
              <w:tabs>
                <w:tab w:val="left" w:pos="546"/>
                <w:tab w:val="left" w:pos="711"/>
              </w:tabs>
              <w:snapToGrid w:val="0"/>
              <w:spacing w:line="360" w:lineRule="exact"/>
              <w:ind w:left="6" w:leftChars="3" w:firstLine="420" w:firstLineChars="200"/>
              <w:rPr>
                <w:rFonts w:ascii="宋体" w:hAnsi="宋体"/>
                <w:szCs w:val="21"/>
              </w:rPr>
            </w:pPr>
            <w:r>
              <w:rPr>
                <w:rFonts w:ascii="宋体" w:hAnsi="宋体" w:cs="宋体"/>
                <w:szCs w:val="21"/>
              </w:rPr>
              <w:t>3.</w:t>
            </w:r>
            <w:r>
              <w:rPr>
                <w:rFonts w:hint="eastAsia" w:ascii="宋体" w:hAnsi="宋体" w:cs="宋体"/>
                <w:szCs w:val="21"/>
              </w:rPr>
              <w:t>投标人应认真填写工程量清单中所列的本合同各工程子目的单价或总价。投标人没有填入单价或总价的工程子目，招标人将认为该子目的价款已包括在工程量清单其他子目的单价和总价中。投标人必须按招标工程量清单填报价格。项目编码、项目名称、项目特征、计量单位、工程量必须与招标工程量清单一致。</w:t>
            </w:r>
          </w:p>
          <w:p>
            <w:pPr>
              <w:tabs>
                <w:tab w:val="left" w:pos="546"/>
                <w:tab w:val="left" w:pos="711"/>
              </w:tabs>
              <w:snapToGrid w:val="0"/>
              <w:spacing w:line="360" w:lineRule="exact"/>
              <w:ind w:left="6" w:leftChars="3" w:firstLine="420" w:firstLineChars="200"/>
              <w:rPr>
                <w:rFonts w:ascii="宋体" w:hAnsi="宋体" w:cs="宋体"/>
                <w:szCs w:val="21"/>
              </w:rPr>
            </w:pPr>
            <w:r>
              <w:rPr>
                <w:rFonts w:ascii="宋体" w:hAnsi="宋体" w:cs="宋体"/>
                <w:szCs w:val="21"/>
              </w:rPr>
              <w:t>4.</w:t>
            </w:r>
            <w:r>
              <w:rPr>
                <w:rFonts w:hint="eastAsia" w:ascii="宋体" w:hAnsi="宋体" w:cs="宋体"/>
                <w:szCs w:val="21"/>
              </w:rPr>
              <w:t>投标函中的总报价必须与已标价工程量清单总报价一致。</w:t>
            </w:r>
          </w:p>
          <w:p>
            <w:pPr>
              <w:pStyle w:val="2"/>
              <w:tabs>
                <w:tab w:val="left" w:pos="546"/>
                <w:tab w:val="left" w:pos="711"/>
              </w:tabs>
              <w:snapToGrid w:val="0"/>
              <w:spacing w:after="0" w:line="360" w:lineRule="exact"/>
              <w:ind w:left="6" w:leftChars="3" w:firstLine="420" w:firstLineChars="200"/>
              <w:rPr>
                <w:rFonts w:ascii="宋体" w:hAnsi="宋体" w:cs="宋体"/>
                <w:szCs w:val="21"/>
              </w:rPr>
            </w:pPr>
            <w:r>
              <w:rPr>
                <w:rFonts w:ascii="宋体" w:hAnsi="宋体" w:cs="宋体"/>
                <w:szCs w:val="21"/>
              </w:rPr>
              <w:t>5.</w:t>
            </w:r>
            <w:r>
              <w:rPr>
                <w:rFonts w:hint="eastAsia" w:ascii="宋体" w:hAnsi="宋体" w:cs="宋体"/>
                <w:szCs w:val="21"/>
              </w:rPr>
              <w:t>（1）在合同实施期间，单价和总价按专用合同条款第11条的规定可调整，投标人应填写招标文件第四卷第八章投标函附录中的价格指数和权重系数或确认基准日期前工程造价管理机构发布的信息价格。</w:t>
            </w:r>
          </w:p>
          <w:p>
            <w:pPr>
              <w:pStyle w:val="2"/>
              <w:tabs>
                <w:tab w:val="left" w:pos="546"/>
                <w:tab w:val="left" w:pos="711"/>
              </w:tabs>
              <w:snapToGrid w:val="0"/>
              <w:spacing w:after="0" w:line="360" w:lineRule="exact"/>
              <w:ind w:left="6" w:leftChars="3" w:firstLine="420" w:firstLineChars="200"/>
              <w:rPr>
                <w:rFonts w:ascii="宋体" w:hAnsi="宋体" w:cs="宋体"/>
                <w:szCs w:val="21"/>
              </w:rPr>
            </w:pPr>
            <w:r>
              <w:rPr>
                <w:rFonts w:hint="eastAsia" w:ascii="宋体" w:hAnsi="宋体" w:cs="宋体"/>
                <w:szCs w:val="21"/>
              </w:rPr>
              <w:t>（2）增值税计税方法由招标人依据国家税法规定选择：一般计税法。</w:t>
            </w:r>
          </w:p>
          <w:p>
            <w:pPr>
              <w:pStyle w:val="2"/>
              <w:tabs>
                <w:tab w:val="left" w:pos="546"/>
                <w:tab w:val="left" w:pos="711"/>
              </w:tabs>
              <w:snapToGrid w:val="0"/>
              <w:spacing w:after="0" w:line="360" w:lineRule="exact"/>
              <w:ind w:left="6" w:leftChars="3" w:firstLine="420" w:firstLineChars="200"/>
              <w:rPr>
                <w:rFonts w:ascii="宋体" w:hAnsi="宋体" w:cs="宋体"/>
                <w:szCs w:val="21"/>
              </w:rPr>
            </w:pPr>
            <w:r>
              <w:rPr>
                <w:rFonts w:ascii="宋体" w:hAnsi="宋体" w:cs="宋体"/>
                <w:szCs w:val="21"/>
              </w:rPr>
              <w:t>6.</w:t>
            </w:r>
            <w:r>
              <w:rPr>
                <w:rFonts w:hint="eastAsia" w:ascii="宋体" w:hAnsi="宋体" w:cs="宋体"/>
                <w:szCs w:val="21"/>
              </w:rPr>
              <w:t>如发现工程量清单中的数量与图纸中数量不一致，应于本须知2.2.1项中规定的时间前书面通知招标人核查，除非招标人以补遗书的形式予以更正，否则，应以工程量清单中列出的数量为准。</w:t>
            </w:r>
          </w:p>
          <w:p>
            <w:pPr>
              <w:tabs>
                <w:tab w:val="left" w:pos="546"/>
                <w:tab w:val="left" w:pos="711"/>
              </w:tabs>
              <w:snapToGrid w:val="0"/>
              <w:spacing w:line="360" w:lineRule="exact"/>
              <w:ind w:left="630" w:leftChars="200" w:hanging="210" w:hangingChars="100"/>
              <w:rPr>
                <w:rFonts w:ascii="宋体" w:hAnsi="宋体" w:cs="宋体"/>
                <w:szCs w:val="21"/>
              </w:rPr>
            </w:pPr>
            <w:r>
              <w:rPr>
                <w:rFonts w:ascii="宋体" w:hAnsi="宋体" w:cs="宋体"/>
                <w:szCs w:val="21"/>
              </w:rPr>
              <w:t>7.</w:t>
            </w:r>
            <w:r>
              <w:rPr>
                <w:rFonts w:hint="eastAsia" w:ascii="宋体" w:hAnsi="宋体" w:cs="宋体"/>
                <w:szCs w:val="21"/>
              </w:rPr>
              <w:t>招标人在工程量清单中所列出的价格（包括暂列金额、暂估价</w:t>
            </w:r>
          </w:p>
          <w:p>
            <w:pPr>
              <w:tabs>
                <w:tab w:val="left" w:pos="546"/>
                <w:tab w:val="left" w:pos="711"/>
              </w:tabs>
              <w:snapToGrid w:val="0"/>
              <w:spacing w:line="360" w:lineRule="exact"/>
              <w:rPr>
                <w:rFonts w:ascii="宋体" w:hAnsi="宋体" w:cs="宋体"/>
                <w:szCs w:val="21"/>
              </w:rPr>
            </w:pPr>
            <w:r>
              <w:rPr>
                <w:rFonts w:hint="eastAsia" w:ascii="宋体" w:hAnsi="宋体" w:cs="宋体"/>
                <w:szCs w:val="21"/>
              </w:rPr>
              <w:t>等），投标人不得修改</w:t>
            </w:r>
            <w:r>
              <w:rPr>
                <w:rFonts w:hint="eastAsia" w:ascii="宋体" w:hAnsi="宋体"/>
                <w:szCs w:val="21"/>
              </w:rPr>
              <w:t>。</w:t>
            </w:r>
          </w:p>
          <w:p>
            <w:pPr>
              <w:numPr>
                <w:ilvl w:val="0"/>
                <w:numId w:val="1"/>
              </w:numPr>
              <w:tabs>
                <w:tab w:val="left" w:pos="546"/>
                <w:tab w:val="left" w:pos="711"/>
                <w:tab w:val="clear" w:pos="312"/>
              </w:tabs>
              <w:snapToGrid w:val="0"/>
              <w:spacing w:line="360" w:lineRule="exact"/>
              <w:ind w:left="630" w:leftChars="200" w:hanging="210" w:hangingChars="100"/>
              <w:rPr>
                <w:rFonts w:ascii="宋体" w:hAnsi="宋体" w:cs="宋体"/>
                <w:szCs w:val="21"/>
              </w:rPr>
            </w:pPr>
            <w:r>
              <w:rPr>
                <w:rFonts w:hint="eastAsia" w:ascii="宋体" w:hAnsi="宋体" w:cs="宋体"/>
                <w:szCs w:val="21"/>
              </w:rPr>
              <w:t xml:space="preserve">本工程招标将设置投标总报价最高限价，投标总报价最高限价    </w:t>
            </w:r>
          </w:p>
          <w:p>
            <w:pPr>
              <w:tabs>
                <w:tab w:val="left" w:pos="546"/>
                <w:tab w:val="left" w:pos="711"/>
              </w:tabs>
              <w:snapToGrid w:val="0"/>
              <w:spacing w:line="360" w:lineRule="exact"/>
              <w:rPr>
                <w:rFonts w:ascii="宋体" w:hAnsi="宋体" w:cs="宋体"/>
                <w:szCs w:val="21"/>
              </w:rPr>
            </w:pPr>
            <w:r>
              <w:rPr>
                <w:rFonts w:hint="eastAsia" w:ascii="宋体" w:hAnsi="宋体" w:cs="宋体"/>
                <w:szCs w:val="21"/>
              </w:rPr>
              <w:t>34</w:t>
            </w:r>
            <w:r>
              <w:rPr>
                <w:rFonts w:hint="eastAsia" w:ascii="宋体" w:hAnsi="宋体" w:cs="宋体"/>
                <w:color w:val="auto"/>
                <w:szCs w:val="21"/>
              </w:rPr>
              <w:t>5,084.13元（大写：</w:t>
            </w:r>
            <w:r>
              <w:rPr>
                <w:rFonts w:hint="eastAsia" w:ascii="宋体" w:hAnsi="宋体" w:cs="宋体"/>
                <w:color w:val="auto"/>
                <w:szCs w:val="21"/>
                <w:lang w:eastAsia="zh-CN"/>
              </w:rPr>
              <w:t>叁拾肆万伍仟零捌拾肆元壹角叁分</w:t>
            </w:r>
            <w:r>
              <w:rPr>
                <w:rFonts w:hint="eastAsia" w:ascii="宋体" w:hAnsi="宋体" w:cs="宋体"/>
                <w:color w:val="auto"/>
                <w:szCs w:val="21"/>
              </w:rPr>
              <w:t>），其中：安全文明施工费</w:t>
            </w:r>
            <w:r>
              <w:rPr>
                <w:rFonts w:hint="eastAsia" w:ascii="宋体" w:hAnsi="宋体" w:cs="宋体"/>
                <w:color w:val="auto"/>
                <w:szCs w:val="21"/>
                <w:lang w:val="en-US" w:eastAsia="zh-CN"/>
              </w:rPr>
              <w:t>7436.96</w:t>
            </w:r>
            <w:r>
              <w:rPr>
                <w:rFonts w:hint="eastAsia" w:ascii="宋体" w:hAnsi="宋体" w:cs="宋体"/>
                <w:color w:val="auto"/>
                <w:szCs w:val="21"/>
              </w:rPr>
              <w:t>元，投标人的投标总</w:t>
            </w:r>
            <w:r>
              <w:rPr>
                <w:rFonts w:hint="eastAsia" w:ascii="宋体" w:hAnsi="宋体" w:cs="宋体"/>
                <w:szCs w:val="21"/>
              </w:rPr>
              <w:t>报价不得超过其最高限价，否则由评标委员会作否决投标处理。</w:t>
            </w:r>
          </w:p>
          <w:p>
            <w:pPr>
              <w:tabs>
                <w:tab w:val="left" w:pos="546"/>
                <w:tab w:val="left" w:pos="711"/>
              </w:tabs>
              <w:snapToGrid w:val="0"/>
              <w:spacing w:line="360" w:lineRule="exact"/>
              <w:ind w:firstLine="420" w:firstLineChars="200"/>
              <w:jc w:val="left"/>
              <w:rPr>
                <w:rFonts w:ascii="宋体" w:hAnsi="宋体" w:cs="宋体"/>
                <w:szCs w:val="21"/>
              </w:rPr>
            </w:pPr>
            <w:r>
              <w:rPr>
                <w:rFonts w:hint="eastAsia" w:ascii="宋体" w:hAnsi="宋体" w:cs="宋体"/>
                <w:szCs w:val="21"/>
              </w:rPr>
              <w:t>本工程招标将设置</w:t>
            </w:r>
            <w:r>
              <w:rPr>
                <w:rFonts w:hint="eastAsia" w:ascii="宋体" w:hAnsi="宋体" w:cs="宋体"/>
                <w:szCs w:val="21"/>
                <w:u w:val="single"/>
              </w:rPr>
              <w:t>全部</w:t>
            </w:r>
            <w:r>
              <w:rPr>
                <w:rFonts w:hint="eastAsia" w:ascii="宋体" w:hAnsi="宋体" w:cs="宋体"/>
                <w:szCs w:val="21"/>
              </w:rPr>
              <w:t>工程量清单综合单价最高限价，</w:t>
            </w:r>
            <w:r>
              <w:rPr>
                <w:rFonts w:hint="eastAsia" w:ascii="宋体" w:hAnsi="宋体" w:cs="宋体"/>
                <w:szCs w:val="21"/>
                <w:u w:val="single"/>
              </w:rPr>
              <w:t>工程量清单综合单价最高限价由投标人自行重庆绅鹏实业开发有限公司（www.cqshenpeng.com）上下载，</w:t>
            </w:r>
            <w:r>
              <w:rPr>
                <w:rFonts w:hint="eastAsia" w:ascii="宋体" w:hAnsi="宋体" w:cs="宋体"/>
                <w:szCs w:val="21"/>
              </w:rPr>
              <w:t>投标人的每项工程量清单综合单价报价不得超过其对应清单综合单价最高限价。</w:t>
            </w:r>
          </w:p>
          <w:p>
            <w:pPr>
              <w:pStyle w:val="2"/>
              <w:spacing w:after="0" w:line="360" w:lineRule="exact"/>
              <w:ind w:firstLine="420" w:firstLineChars="200"/>
              <w:rPr>
                <w:rFonts w:ascii="宋体" w:hAnsi="宋体" w:cs="宋体"/>
                <w:szCs w:val="21"/>
              </w:rPr>
            </w:pPr>
            <w:r>
              <w:rPr>
                <w:rFonts w:ascii="宋体" w:hAnsi="宋体" w:cs="宋体"/>
                <w:szCs w:val="21"/>
              </w:rPr>
              <w:t>9.安全文明施工费：</w:t>
            </w:r>
          </w:p>
          <w:p>
            <w:pPr>
              <w:pStyle w:val="2"/>
              <w:tabs>
                <w:tab w:val="left" w:pos="546"/>
                <w:tab w:val="left" w:pos="711"/>
              </w:tabs>
              <w:snapToGrid w:val="0"/>
              <w:spacing w:after="0" w:line="360" w:lineRule="exact"/>
              <w:ind w:firstLine="420" w:firstLineChars="200"/>
              <w:rPr>
                <w:rFonts w:ascii="宋体" w:hAnsi="宋体" w:cs="宋体"/>
                <w:szCs w:val="21"/>
              </w:rPr>
            </w:pPr>
            <w:r>
              <w:rPr>
                <w:rFonts w:ascii="宋体" w:hAnsi="宋体" w:cs="宋体"/>
                <w:szCs w:val="21"/>
              </w:rPr>
              <w:t>9.1</w:t>
            </w:r>
            <w:r>
              <w:rPr>
                <w:rFonts w:hint="eastAsia" w:ascii="宋体" w:hAnsi="宋体" w:cs="宋体"/>
                <w:szCs w:val="21"/>
              </w:rPr>
              <w:t>根据《关于印发</w:t>
            </w:r>
            <w:r>
              <w:rPr>
                <w:rFonts w:ascii="宋体" w:hAnsi="宋体" w:cs="宋体"/>
                <w:szCs w:val="21"/>
              </w:rPr>
              <w:t>&lt;</w:t>
            </w:r>
            <w:r>
              <w:rPr>
                <w:rFonts w:hint="eastAsia" w:ascii="宋体" w:hAnsi="宋体" w:cs="宋体"/>
                <w:szCs w:val="21"/>
              </w:rPr>
              <w:t>重庆市建设工程安全文明施工费计取及使用管理规定</w:t>
            </w:r>
            <w:r>
              <w:rPr>
                <w:rFonts w:ascii="宋体" w:hAnsi="宋体" w:cs="宋体"/>
                <w:szCs w:val="21"/>
              </w:rPr>
              <w:t>&gt;</w:t>
            </w:r>
            <w:r>
              <w:rPr>
                <w:rFonts w:hint="eastAsia" w:ascii="宋体" w:hAnsi="宋体" w:cs="宋体"/>
                <w:szCs w:val="21"/>
              </w:rPr>
              <w:t>的通知》（渝建发〔2014〕25号）规定，安全文明施工费由安全施工费、文明施工费、环境保护费及临时设施费组成。</w:t>
            </w:r>
          </w:p>
          <w:p>
            <w:pPr>
              <w:pStyle w:val="159"/>
              <w:spacing w:line="360" w:lineRule="exact"/>
              <w:ind w:firstLineChars="200"/>
              <w:rPr>
                <w:sz w:val="21"/>
                <w:szCs w:val="21"/>
              </w:rPr>
            </w:pPr>
            <w:r>
              <w:rPr>
                <w:sz w:val="21"/>
                <w:szCs w:val="21"/>
              </w:rPr>
              <w:t>9.2本工程安全文明施工费由招标人根据《建设工程工程量清单计价规范》（GB50500-2013）、《重庆市建设工程工程量清单计价规则》（CQJJGZ-2013）、《关于印发&lt;重庆市建设工程安全文明施工费计取及使用管理规定&gt;的通知》（渝建发</w:t>
            </w:r>
            <w:r>
              <w:rPr>
                <w:rFonts w:hint="eastAsia"/>
                <w:sz w:val="21"/>
                <w:szCs w:val="21"/>
              </w:rPr>
              <w:t>〔</w:t>
            </w:r>
            <w:r>
              <w:rPr>
                <w:sz w:val="21"/>
                <w:szCs w:val="21"/>
              </w:rPr>
              <w:t>2014</w:t>
            </w:r>
            <w:r>
              <w:rPr>
                <w:rFonts w:hint="eastAsia"/>
                <w:sz w:val="21"/>
                <w:szCs w:val="21"/>
              </w:rPr>
              <w:t>〕</w:t>
            </w:r>
            <w:r>
              <w:rPr>
                <w:sz w:val="21"/>
                <w:szCs w:val="21"/>
              </w:rPr>
              <w:t>25号）、</w:t>
            </w:r>
            <w:r>
              <w:rPr>
                <w:rFonts w:hint="eastAsia"/>
                <w:sz w:val="21"/>
                <w:szCs w:val="21"/>
              </w:rPr>
              <w:t>《重庆市建设工程费用定额》（CQFYDE-2018）、《重庆市城乡建设委员会关于适用增值税新税率调整建设工程计价依据的通知》（渝建〔2019〕143号）</w:t>
            </w:r>
            <w:r>
              <w:rPr>
                <w:sz w:val="21"/>
                <w:szCs w:val="21"/>
              </w:rPr>
              <w:t>的相关规定和费用标准单列计算，安全文明施工费为暂定金额</w:t>
            </w:r>
            <w:r>
              <w:rPr>
                <w:rFonts w:hint="eastAsia"/>
                <w:sz w:val="21"/>
                <w:szCs w:val="21"/>
                <w:lang w:val="en-US" w:eastAsia="zh-CN"/>
              </w:rPr>
              <w:t>7436.96</w:t>
            </w:r>
            <w:r>
              <w:rPr>
                <w:rFonts w:hint="eastAsia"/>
                <w:sz w:val="21"/>
                <w:szCs w:val="21"/>
              </w:rPr>
              <w:t>元</w:t>
            </w:r>
            <w:r>
              <w:rPr>
                <w:sz w:val="21"/>
                <w:szCs w:val="21"/>
              </w:rPr>
              <w:t>。《投标函》及工程量清单报价中的安全文明施工费必须按照招标人给出的暂定金额填报，否则视为对招标文件不作实质性响应，其投标文件</w:t>
            </w:r>
            <w:r>
              <w:rPr>
                <w:rFonts w:hint="eastAsia"/>
                <w:sz w:val="21"/>
                <w:szCs w:val="21"/>
              </w:rPr>
              <w:t>由评标委员会</w:t>
            </w:r>
            <w:r>
              <w:rPr>
                <w:sz w:val="21"/>
                <w:szCs w:val="21"/>
              </w:rPr>
              <w:t>作否决投标处理。</w:t>
            </w:r>
          </w:p>
          <w:p>
            <w:pPr>
              <w:tabs>
                <w:tab w:val="left" w:pos="546"/>
                <w:tab w:val="left" w:pos="711"/>
              </w:tabs>
              <w:snapToGrid w:val="0"/>
              <w:spacing w:line="360" w:lineRule="exact"/>
              <w:ind w:firstLine="420" w:firstLineChars="200"/>
              <w:rPr>
                <w:rFonts w:ascii="宋体" w:hAnsi="宋体" w:cs="宋体"/>
                <w:szCs w:val="21"/>
              </w:rPr>
            </w:pPr>
            <w:r>
              <w:rPr>
                <w:rFonts w:ascii="宋体" w:hAnsi="宋体"/>
                <w:szCs w:val="21"/>
              </w:rPr>
              <w:t>10.</w:t>
            </w:r>
            <w:r>
              <w:rPr>
                <w:rFonts w:hint="eastAsia" w:ascii="宋体" w:hAnsi="宋体"/>
                <w:szCs w:val="21"/>
              </w:rPr>
              <w:t>本工程所需材料（含设备）价格由投标人参照重庆市建设工</w:t>
            </w:r>
            <w:r>
              <w:rPr>
                <w:rFonts w:hint="eastAsia" w:ascii="宋体" w:hAnsi="宋体" w:cs="宋体"/>
                <w:szCs w:val="21"/>
              </w:rPr>
              <w:t>程造价管理总站发布的开标当期《重庆工程造价信息》或工程造价管理机构发布的工程造价信息，并结合市场行情及自身实力进行自主报价。</w:t>
            </w:r>
          </w:p>
          <w:p>
            <w:pPr>
              <w:pStyle w:val="2"/>
              <w:tabs>
                <w:tab w:val="left" w:pos="546"/>
                <w:tab w:val="left" w:pos="711"/>
              </w:tabs>
              <w:snapToGrid w:val="0"/>
              <w:spacing w:after="0" w:line="360" w:lineRule="exact"/>
              <w:ind w:firstLine="420" w:firstLineChars="200"/>
              <w:rPr>
                <w:rFonts w:ascii="宋体" w:hAnsi="宋体" w:cs="宋体"/>
                <w:szCs w:val="21"/>
                <w:u w:val="single"/>
              </w:rPr>
            </w:pPr>
            <w:r>
              <w:rPr>
                <w:rFonts w:hint="eastAsia" w:ascii="宋体" w:hAnsi="宋体" w:cs="宋体"/>
                <w:szCs w:val="21"/>
              </w:rPr>
              <w:t>11.本项目建筑安装材料价格风险按照《重庆市城乡建设委员会关于进一步加强建筑安装材料价格风险管控的指导意见》（渝建〔2018〕61号）执行。本项目主要材料及设备价格风险内容、范围及调整方法为：</w:t>
            </w:r>
            <w:r>
              <w:rPr>
                <w:rFonts w:hint="eastAsia" w:ascii="宋体" w:hAnsi="宋体" w:cs="宋体"/>
                <w:szCs w:val="21"/>
                <w:u w:val="single"/>
              </w:rPr>
              <w:t>不调整。</w:t>
            </w:r>
          </w:p>
          <w:p>
            <w:pPr>
              <w:pStyle w:val="2"/>
              <w:tabs>
                <w:tab w:val="left" w:pos="546"/>
                <w:tab w:val="left" w:pos="711"/>
              </w:tabs>
              <w:snapToGrid w:val="0"/>
              <w:spacing w:after="0" w:line="360" w:lineRule="exact"/>
              <w:ind w:firstLine="420" w:firstLineChars="200"/>
              <w:rPr>
                <w:rFonts w:ascii="宋体" w:hAnsi="宋体" w:cs="宋体"/>
                <w:szCs w:val="21"/>
              </w:rPr>
            </w:pPr>
            <w:r>
              <w:rPr>
                <w:rFonts w:ascii="宋体" w:hAnsi="宋体" w:cs="宋体"/>
                <w:szCs w:val="21"/>
              </w:rPr>
              <w:t>1</w:t>
            </w:r>
            <w:r>
              <w:rPr>
                <w:rFonts w:hint="eastAsia" w:ascii="宋体" w:hAnsi="宋体" w:cs="宋体"/>
                <w:szCs w:val="21"/>
              </w:rPr>
              <w:t>2</w:t>
            </w:r>
            <w:r>
              <w:rPr>
                <w:rFonts w:ascii="宋体" w:hAnsi="宋体" w:cs="宋体"/>
                <w:szCs w:val="21"/>
              </w:rPr>
              <w:t>.</w:t>
            </w:r>
            <w:r>
              <w:rPr>
                <w:rFonts w:hint="eastAsia" w:ascii="宋体" w:hAnsi="宋体" w:cs="宋体"/>
                <w:szCs w:val="21"/>
              </w:rPr>
              <w:t>本项目所采用技术、工艺和产品等必须执行重庆市住房和城乡建设委员会关于发布《重庆市建设领域禁止、限制使用落后技术通告（2019年版）（渝建发〔2019〕25号）的规定。</w:t>
            </w:r>
          </w:p>
          <w:p>
            <w:pPr>
              <w:pStyle w:val="2"/>
              <w:tabs>
                <w:tab w:val="left" w:pos="546"/>
                <w:tab w:val="left" w:pos="711"/>
              </w:tabs>
              <w:snapToGrid w:val="0"/>
              <w:spacing w:after="0" w:line="360" w:lineRule="exact"/>
              <w:ind w:firstLine="420" w:firstLineChars="200"/>
              <w:rPr>
                <w:rFonts w:ascii="宋体" w:hAnsi="宋体" w:cs="宋体"/>
                <w:szCs w:val="21"/>
              </w:rPr>
            </w:pPr>
            <w:r>
              <w:rPr>
                <w:rFonts w:ascii="宋体" w:hAnsi="宋体" w:cs="宋体"/>
                <w:szCs w:val="21"/>
              </w:rPr>
              <w:t>1</w:t>
            </w:r>
            <w:r>
              <w:rPr>
                <w:rFonts w:hint="eastAsia" w:ascii="宋体" w:hAnsi="宋体" w:cs="宋体"/>
                <w:szCs w:val="21"/>
              </w:rPr>
              <w:t>3</w:t>
            </w:r>
            <w:r>
              <w:rPr>
                <w:rFonts w:ascii="宋体" w:hAnsi="宋体" w:cs="宋体"/>
                <w:szCs w:val="21"/>
              </w:rPr>
              <w:t>.</w:t>
            </w:r>
            <w:r>
              <w:rPr>
                <w:rFonts w:hint="eastAsia" w:ascii="宋体" w:hAnsi="宋体" w:cs="宋体"/>
                <w:szCs w:val="21"/>
              </w:rPr>
              <w:t>本工程主体结构若需混凝土，则必须使用商品混凝土，不得自建搅拌站。</w:t>
            </w:r>
          </w:p>
          <w:p>
            <w:pPr>
              <w:snapToGrid w:val="0"/>
              <w:spacing w:line="400" w:lineRule="exact"/>
              <w:ind w:firstLine="420" w:firstLineChars="200"/>
              <w:rPr>
                <w:rFonts w:hAnsi="宋体"/>
                <w:szCs w:val="21"/>
              </w:rPr>
            </w:pPr>
            <w:r>
              <w:rPr>
                <w:rFonts w:hint="eastAsia" w:ascii="宋体" w:hAnsi="宋体" w:cs="宋体"/>
                <w:szCs w:val="21"/>
              </w:rPr>
              <w:t>14</w:t>
            </w:r>
            <w:r>
              <w:rPr>
                <w:rFonts w:ascii="宋体" w:hAnsi="宋体" w:cs="宋体"/>
                <w:szCs w:val="21"/>
              </w:rPr>
              <w:t>.</w:t>
            </w:r>
            <w:r>
              <w:rPr>
                <w:rFonts w:hint="eastAsia" w:ascii="宋体" w:hAnsi="宋体" w:cs="宋体"/>
                <w:szCs w:val="21"/>
              </w:rPr>
              <w:t>材料运输距离由投标人根据自身情况及踏勘现场情况自行确定，中标后不作调整。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78" w:type="dxa"/>
            <w:vAlign w:val="center"/>
          </w:tcPr>
          <w:p>
            <w:pPr>
              <w:adjustRightInd w:val="0"/>
              <w:snapToGrid w:val="0"/>
              <w:spacing w:line="300" w:lineRule="exact"/>
              <w:jc w:val="center"/>
              <w:rPr>
                <w:rFonts w:ascii="宋体" w:hAnsi="宋体" w:cs="宋体"/>
              </w:rPr>
            </w:pPr>
            <w:r>
              <w:rPr>
                <w:rFonts w:hint="eastAsia" w:ascii="宋体" w:hAnsi="宋体" w:cs="宋体"/>
              </w:rPr>
              <w:t>3.3.1</w:t>
            </w:r>
          </w:p>
        </w:tc>
        <w:tc>
          <w:tcPr>
            <w:tcW w:w="1664" w:type="dxa"/>
            <w:vAlign w:val="center"/>
          </w:tcPr>
          <w:p>
            <w:pPr>
              <w:adjustRightInd w:val="0"/>
              <w:snapToGrid w:val="0"/>
              <w:spacing w:line="300" w:lineRule="exact"/>
              <w:jc w:val="center"/>
              <w:rPr>
                <w:rFonts w:ascii="宋体" w:hAnsi="宋体" w:cs="宋体"/>
              </w:rPr>
            </w:pPr>
            <w:r>
              <w:rPr>
                <w:rFonts w:hint="eastAsia" w:ascii="宋体" w:hAnsi="宋体" w:cs="宋体"/>
              </w:rPr>
              <w:t>投标有效期</w:t>
            </w:r>
          </w:p>
        </w:tc>
        <w:tc>
          <w:tcPr>
            <w:tcW w:w="6948" w:type="dxa"/>
            <w:gridSpan w:val="2"/>
            <w:vAlign w:val="center"/>
          </w:tcPr>
          <w:p>
            <w:pPr>
              <w:adjustRightInd w:val="0"/>
              <w:snapToGrid w:val="0"/>
              <w:spacing w:line="300" w:lineRule="exact"/>
              <w:jc w:val="left"/>
              <w:rPr>
                <w:rFonts w:ascii="宋体" w:hAnsi="宋体" w:cs="宋体"/>
              </w:rPr>
            </w:pPr>
            <w:r>
              <w:rPr>
                <w:rFonts w:hint="eastAsia" w:ascii="宋体" w:hAnsi="宋体" w:cs="宋体"/>
              </w:rPr>
              <w:t xml:space="preserve">  </w:t>
            </w:r>
            <w:r>
              <w:rPr>
                <w:rFonts w:hint="eastAsia" w:ascii="宋体" w:hAnsi="宋体" w:cs="宋体"/>
                <w:u w:val="single"/>
              </w:rPr>
              <w:t xml:space="preserve">90 </w:t>
            </w:r>
            <w:r>
              <w:rPr>
                <w:rFonts w:hint="eastAsia" w:ascii="宋体" w:hAnsi="宋体" w:cs="宋体"/>
              </w:rPr>
              <w:t>日历天（从提交投标文件截止日起计算）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78" w:type="dxa"/>
            <w:vAlign w:val="center"/>
          </w:tcPr>
          <w:p>
            <w:pPr>
              <w:snapToGrid w:val="0"/>
              <w:spacing w:line="300" w:lineRule="auto"/>
              <w:jc w:val="center"/>
              <w:rPr>
                <w:rFonts w:ascii="宋体" w:cs="仿宋"/>
                <w:kern w:val="0"/>
                <w:szCs w:val="21"/>
              </w:rPr>
            </w:pPr>
            <w:r>
              <w:rPr>
                <w:rFonts w:ascii="宋体" w:cs="仿宋"/>
                <w:kern w:val="0"/>
                <w:szCs w:val="21"/>
              </w:rPr>
              <w:t>3.4.1</w:t>
            </w:r>
          </w:p>
        </w:tc>
        <w:tc>
          <w:tcPr>
            <w:tcW w:w="1664" w:type="dxa"/>
            <w:vAlign w:val="center"/>
          </w:tcPr>
          <w:p>
            <w:pPr>
              <w:snapToGrid w:val="0"/>
              <w:spacing w:line="300" w:lineRule="auto"/>
              <w:jc w:val="center"/>
              <w:rPr>
                <w:rFonts w:ascii="宋体" w:cs="仿宋"/>
                <w:kern w:val="0"/>
                <w:szCs w:val="21"/>
              </w:rPr>
            </w:pPr>
            <w:r>
              <w:rPr>
                <w:rFonts w:hint="eastAsia" w:ascii="宋体" w:cs="仿宋"/>
                <w:kern w:val="0"/>
                <w:szCs w:val="21"/>
              </w:rPr>
              <w:t>投标保证金</w:t>
            </w:r>
          </w:p>
        </w:tc>
        <w:tc>
          <w:tcPr>
            <w:tcW w:w="6948" w:type="dxa"/>
            <w:gridSpan w:val="2"/>
            <w:vAlign w:val="center"/>
          </w:tcPr>
          <w:p>
            <w:pPr>
              <w:snapToGrid w:val="0"/>
              <w:spacing w:line="360" w:lineRule="exact"/>
              <w:ind w:firstLine="422" w:firstLineChars="200"/>
              <w:rPr>
                <w:rFonts w:ascii="宋体" w:hAnsi="宋体" w:cs="MingLiU"/>
                <w:b/>
                <w:kern w:val="0"/>
                <w:szCs w:val="21"/>
              </w:rPr>
            </w:pPr>
            <w:r>
              <w:rPr>
                <w:rFonts w:hint="eastAsia" w:ascii="宋体" w:hAnsi="宋体" w:cs="MingLiU"/>
                <w:b/>
                <w:kern w:val="0"/>
                <w:szCs w:val="21"/>
              </w:rPr>
              <w:t>方式一</w:t>
            </w:r>
          </w:p>
          <w:p>
            <w:pPr>
              <w:snapToGrid w:val="0"/>
              <w:spacing w:line="360" w:lineRule="exact"/>
              <w:ind w:firstLine="420" w:firstLineChars="200"/>
              <w:rPr>
                <w:rFonts w:ascii="宋体" w:hAnsi="宋体"/>
                <w:kern w:val="0"/>
                <w:szCs w:val="21"/>
              </w:rPr>
            </w:pPr>
            <w:r>
              <w:rPr>
                <w:rFonts w:ascii="宋体" w:hAnsi="宋体"/>
                <w:kern w:val="0"/>
                <w:szCs w:val="21"/>
              </w:rPr>
              <w:t>一、投标保证金的交纳</w:t>
            </w:r>
          </w:p>
          <w:p>
            <w:pPr>
              <w:snapToGrid w:val="0"/>
              <w:spacing w:line="360" w:lineRule="exact"/>
              <w:ind w:firstLine="420" w:firstLineChars="200"/>
              <w:rPr>
                <w:rFonts w:ascii="宋体" w:hAnsi="宋体"/>
                <w:kern w:val="0"/>
                <w:szCs w:val="21"/>
              </w:rPr>
            </w:pPr>
            <w:r>
              <w:rPr>
                <w:rFonts w:ascii="宋体" w:hAnsi="宋体"/>
                <w:kern w:val="0"/>
                <w:szCs w:val="21"/>
              </w:rPr>
              <w:t>1</w:t>
            </w:r>
            <w:r>
              <w:rPr>
                <w:rFonts w:hint="eastAsia" w:ascii="宋体" w:hAnsi="宋体"/>
                <w:kern w:val="0"/>
                <w:szCs w:val="21"/>
              </w:rPr>
              <w:t xml:space="preserve">. </w:t>
            </w:r>
            <w:r>
              <w:rPr>
                <w:rFonts w:ascii="宋体" w:hAnsi="宋体"/>
                <w:kern w:val="0"/>
                <w:szCs w:val="21"/>
              </w:rPr>
              <w:t>投标保证金交纳形式及要求：</w:t>
            </w:r>
          </w:p>
          <w:p>
            <w:pPr>
              <w:snapToGrid w:val="0"/>
              <w:spacing w:line="360" w:lineRule="exact"/>
              <w:ind w:firstLine="420" w:firstLineChars="200"/>
              <w:rPr>
                <w:rFonts w:ascii="宋体" w:hAnsi="宋体"/>
                <w:kern w:val="0"/>
                <w:szCs w:val="21"/>
              </w:rPr>
            </w:pPr>
            <w:r>
              <w:rPr>
                <w:rFonts w:ascii="宋体" w:hAnsi="宋体"/>
                <w:kern w:val="0"/>
                <w:szCs w:val="21"/>
              </w:rPr>
              <w:t>（1）缴纳形式：投标人提供见索即付的投标保函；</w:t>
            </w:r>
          </w:p>
          <w:p>
            <w:pPr>
              <w:snapToGrid w:val="0"/>
              <w:spacing w:line="360" w:lineRule="exact"/>
              <w:ind w:firstLine="420" w:firstLineChars="200"/>
              <w:rPr>
                <w:rFonts w:ascii="宋体" w:hAnsi="宋体"/>
                <w:kern w:val="0"/>
                <w:szCs w:val="21"/>
              </w:rPr>
            </w:pPr>
            <w:r>
              <w:rPr>
                <w:rFonts w:ascii="宋体" w:hAnsi="宋体"/>
                <w:kern w:val="0"/>
                <w:szCs w:val="21"/>
              </w:rPr>
              <w:t>（2）具体要求：投标人</w:t>
            </w:r>
            <w:r>
              <w:rPr>
                <w:rFonts w:hint="eastAsia" w:ascii="宋体" w:hAnsi="宋体"/>
                <w:kern w:val="0"/>
                <w:szCs w:val="21"/>
              </w:rPr>
              <w:t>须在投标文件投标保函部分</w:t>
            </w:r>
            <w:r>
              <w:rPr>
                <w:rFonts w:ascii="宋体" w:hAnsi="宋体"/>
                <w:kern w:val="0"/>
                <w:szCs w:val="21"/>
              </w:rPr>
              <w:t>提供银行开具的投标保函正本</w:t>
            </w:r>
            <w:r>
              <w:rPr>
                <w:rFonts w:hint="eastAsia" w:ascii="宋体" w:hAnsi="宋体"/>
                <w:kern w:val="0"/>
                <w:szCs w:val="21"/>
              </w:rPr>
              <w:t>复印件，投标保函正本原件随其他要求提供的原件一并放入原件袋中，在递交投标文件时一次性递交</w:t>
            </w:r>
            <w:r>
              <w:rPr>
                <w:rFonts w:ascii="宋体" w:hAnsi="宋体"/>
                <w:kern w:val="0"/>
                <w:szCs w:val="21"/>
              </w:rPr>
              <w:t>。</w:t>
            </w:r>
            <w:r>
              <w:rPr>
                <w:rFonts w:hint="eastAsia" w:ascii="宋体" w:hAnsi="宋体"/>
                <w:kern w:val="0"/>
                <w:szCs w:val="21"/>
              </w:rPr>
              <w:t>退还原件袋时，投标保函正本原件不退还，由招标人保管。</w:t>
            </w:r>
            <w:r>
              <w:rPr>
                <w:rFonts w:ascii="宋体" w:hAnsi="宋体"/>
                <w:kern w:val="0"/>
                <w:szCs w:val="21"/>
              </w:rPr>
              <w:t>投标保函应至少体现如下内容：①担保项目必须为本项目；②受益人必须为本项目招标人；③保函担保金额必须满足本项目要求；④保函生效</w:t>
            </w:r>
            <w:r>
              <w:rPr>
                <w:rFonts w:hint="eastAsia" w:ascii="宋体" w:hAnsi="宋体"/>
                <w:kern w:val="0"/>
                <w:szCs w:val="21"/>
              </w:rPr>
              <w:t>时间</w:t>
            </w:r>
            <w:r>
              <w:rPr>
                <w:rFonts w:ascii="宋体" w:hAnsi="宋体"/>
                <w:kern w:val="0"/>
                <w:szCs w:val="21"/>
              </w:rPr>
              <w:t>必须在投标截止时间前，有效期限必须至少包含整个投标有效期。否则，投标保函无效。投标人的投标文件</w:t>
            </w:r>
            <w:r>
              <w:rPr>
                <w:rFonts w:hint="eastAsia" w:ascii="宋体" w:hAnsi="宋体"/>
                <w:kern w:val="0"/>
                <w:szCs w:val="21"/>
              </w:rPr>
              <w:t>由评标委员会</w:t>
            </w:r>
            <w:r>
              <w:rPr>
                <w:rFonts w:ascii="宋体" w:hAnsi="宋体"/>
                <w:kern w:val="0"/>
                <w:szCs w:val="21"/>
              </w:rPr>
              <w:t>作否决投标处理。</w:t>
            </w:r>
          </w:p>
          <w:p>
            <w:pPr>
              <w:snapToGrid w:val="0"/>
              <w:spacing w:line="360" w:lineRule="exact"/>
              <w:ind w:firstLine="420" w:firstLineChars="200"/>
              <w:rPr>
                <w:rFonts w:ascii="宋体" w:hAnsi="宋体"/>
                <w:color w:val="auto"/>
                <w:kern w:val="0"/>
                <w:szCs w:val="21"/>
              </w:rPr>
            </w:pPr>
            <w:r>
              <w:rPr>
                <w:rFonts w:ascii="宋体" w:hAnsi="宋体"/>
                <w:kern w:val="0"/>
                <w:szCs w:val="21"/>
              </w:rPr>
              <w:t>2</w:t>
            </w:r>
            <w:r>
              <w:rPr>
                <w:rFonts w:hint="eastAsia" w:ascii="宋体" w:hAnsi="宋体"/>
                <w:kern w:val="0"/>
                <w:szCs w:val="21"/>
              </w:rPr>
              <w:t xml:space="preserve">. </w:t>
            </w:r>
            <w:r>
              <w:rPr>
                <w:rFonts w:ascii="宋体" w:hAnsi="宋体"/>
                <w:kern w:val="0"/>
                <w:szCs w:val="21"/>
              </w:rPr>
              <w:t>投标保证</w:t>
            </w:r>
            <w:r>
              <w:rPr>
                <w:rFonts w:ascii="宋体" w:hAnsi="宋体"/>
                <w:color w:val="auto"/>
                <w:kern w:val="0"/>
                <w:szCs w:val="21"/>
              </w:rPr>
              <w:t>金的金额：</w:t>
            </w:r>
            <w:r>
              <w:rPr>
                <w:rFonts w:hint="eastAsia" w:ascii="宋体" w:hAnsi="宋体"/>
                <w:color w:val="auto"/>
                <w:kern w:val="0"/>
                <w:szCs w:val="21"/>
                <w:highlight w:val="none"/>
                <w:u w:val="single"/>
                <w:lang w:val="en-US" w:eastAsia="zh-CN"/>
              </w:rPr>
              <w:t xml:space="preserve"> 6900.00元</w:t>
            </w:r>
            <w:r>
              <w:rPr>
                <w:rFonts w:ascii="宋体" w:hAnsi="宋体"/>
                <w:color w:val="auto"/>
                <w:kern w:val="0"/>
                <w:szCs w:val="21"/>
                <w:highlight w:val="none"/>
              </w:rPr>
              <w:t>（人民</w:t>
            </w:r>
            <w:r>
              <w:rPr>
                <w:rFonts w:ascii="宋体" w:hAnsi="宋体"/>
                <w:color w:val="auto"/>
                <w:kern w:val="0"/>
                <w:szCs w:val="21"/>
              </w:rPr>
              <w:t>币）</w:t>
            </w:r>
          </w:p>
          <w:p>
            <w:pPr>
              <w:snapToGrid w:val="0"/>
              <w:spacing w:line="360" w:lineRule="exact"/>
              <w:ind w:firstLine="420" w:firstLineChars="200"/>
              <w:rPr>
                <w:rFonts w:ascii="宋体" w:hAnsi="宋体"/>
                <w:kern w:val="0"/>
                <w:szCs w:val="21"/>
              </w:rPr>
            </w:pPr>
            <w:r>
              <w:rPr>
                <w:rFonts w:hint="eastAsia" w:ascii="宋体" w:hAnsi="宋体"/>
                <w:kern w:val="0"/>
                <w:szCs w:val="21"/>
              </w:rPr>
              <w:t>红名单中的投标人投标保证金金额可减半。</w:t>
            </w:r>
          </w:p>
          <w:p>
            <w:pPr>
              <w:numPr>
                <w:ilvl w:val="0"/>
                <w:numId w:val="2"/>
              </w:numPr>
              <w:snapToGrid w:val="0"/>
              <w:spacing w:line="360" w:lineRule="exact"/>
              <w:ind w:firstLine="420" w:firstLineChars="200"/>
              <w:rPr>
                <w:rFonts w:hint="eastAsia" w:ascii="宋体" w:hAnsi="宋体"/>
                <w:kern w:val="0"/>
                <w:szCs w:val="21"/>
              </w:rPr>
            </w:pPr>
            <w:r>
              <w:rPr>
                <w:rFonts w:ascii="宋体" w:hAnsi="宋体"/>
                <w:kern w:val="0"/>
                <w:szCs w:val="21"/>
              </w:rPr>
              <w:t>投标人提供的投标保函不得有弄虚作假行为，否则一经</w:t>
            </w:r>
            <w:r>
              <w:rPr>
                <w:rFonts w:hint="eastAsia" w:ascii="宋体" w:hAnsi="宋体"/>
                <w:kern w:val="0"/>
                <w:szCs w:val="21"/>
              </w:rPr>
              <w:t>招标人</w:t>
            </w:r>
            <w:r>
              <w:rPr>
                <w:rFonts w:ascii="宋体" w:hAnsi="宋体"/>
                <w:kern w:val="0"/>
                <w:szCs w:val="21"/>
              </w:rPr>
              <w:t>核实，将上报行政主管部门按照相关法律法规处理。同时，取消其中标资格，影响评标结果的将按照招标文件规定由评标委员会重新确定评标结果。投标人自行提供</w:t>
            </w:r>
            <w:r>
              <w:rPr>
                <w:rFonts w:hint="eastAsia" w:ascii="宋体" w:hAnsi="宋体"/>
                <w:kern w:val="0"/>
                <w:szCs w:val="21"/>
              </w:rPr>
              <w:t>投标保函开具银行的核实地点、方式和联系人，在中标公示期间，招标人可对投标人保函的真伪进行查询</w:t>
            </w:r>
            <w:r>
              <w:rPr>
                <w:rFonts w:ascii="宋体" w:hAnsi="宋体"/>
                <w:kern w:val="0"/>
                <w:szCs w:val="21"/>
              </w:rPr>
              <w:t>。各投标人在开具投标保函时，须确保投标保函开具银行开具的银行保函能在重庆市主城区</w:t>
            </w:r>
            <w:r>
              <w:rPr>
                <w:rFonts w:hint="eastAsia" w:ascii="宋体" w:hAnsi="宋体"/>
                <w:kern w:val="0"/>
                <w:szCs w:val="21"/>
              </w:rPr>
              <w:t>（区县项目应在重庆市主城区或项目所在区县）</w:t>
            </w:r>
            <w:r>
              <w:rPr>
                <w:rFonts w:ascii="宋体" w:hAnsi="宋体"/>
                <w:kern w:val="0"/>
                <w:szCs w:val="21"/>
              </w:rPr>
              <w:t>各相关银行中核实其真伪，否则其投标保函无效。投标</w:t>
            </w:r>
            <w:r>
              <w:rPr>
                <w:rFonts w:hint="eastAsia" w:ascii="宋体" w:hAnsi="宋体"/>
                <w:kern w:val="0"/>
                <w:szCs w:val="21"/>
              </w:rPr>
              <w:t>保函开具银行应能对开具的银行保函出具核实意见，若出现银行不予核实的情况，视为其投标保函无效。</w:t>
            </w:r>
          </w:p>
          <w:p>
            <w:pPr>
              <w:snapToGrid w:val="0"/>
              <w:spacing w:line="360" w:lineRule="exact"/>
              <w:ind w:firstLine="420" w:firstLineChars="200"/>
              <w:rPr>
                <w:rFonts w:ascii="宋体" w:hAnsi="宋体"/>
                <w:kern w:val="0"/>
                <w:szCs w:val="21"/>
              </w:rPr>
            </w:pPr>
            <w:r>
              <w:rPr>
                <w:rFonts w:ascii="宋体" w:hAnsi="宋体"/>
                <w:kern w:val="0"/>
                <w:szCs w:val="21"/>
              </w:rPr>
              <w:t>二、投标保函的</w:t>
            </w:r>
            <w:r>
              <w:rPr>
                <w:rFonts w:hint="eastAsia" w:ascii="宋体" w:hAnsi="宋体"/>
                <w:kern w:val="0"/>
                <w:szCs w:val="21"/>
              </w:rPr>
              <w:t>退还、注销</w:t>
            </w:r>
          </w:p>
          <w:p>
            <w:pPr>
              <w:snapToGrid w:val="0"/>
              <w:spacing w:line="360" w:lineRule="exact"/>
              <w:ind w:firstLine="420" w:firstLineChars="200"/>
              <w:rPr>
                <w:rFonts w:ascii="宋体" w:hAnsi="宋体"/>
                <w:kern w:val="0"/>
                <w:szCs w:val="21"/>
              </w:rPr>
            </w:pPr>
            <w:r>
              <w:rPr>
                <w:rFonts w:ascii="宋体" w:hAnsi="宋体"/>
                <w:kern w:val="0"/>
                <w:szCs w:val="21"/>
              </w:rPr>
              <w:t>招标人应当在法定时间内确定中标人，向中标人发出中标通知书，同时向除中标候选人以外的其他投标人退还投标保函正本并书面通知相关银行本项目准予提前注销投标保函。具体投标保函注销事宜由投标人与银行协商。</w:t>
            </w:r>
          </w:p>
          <w:p>
            <w:pPr>
              <w:spacing w:line="360" w:lineRule="exact"/>
              <w:ind w:firstLine="420" w:firstLineChars="200"/>
              <w:rPr>
                <w:rFonts w:ascii="宋体" w:hAnsi="宋体"/>
                <w:kern w:val="0"/>
                <w:szCs w:val="21"/>
              </w:rPr>
            </w:pPr>
            <w:r>
              <w:rPr>
                <w:rFonts w:ascii="宋体" w:hAnsi="宋体"/>
                <w:kern w:val="0"/>
                <w:szCs w:val="21"/>
              </w:rPr>
              <w:t>招标人应在法定时间内和中标人</w:t>
            </w:r>
            <w:r>
              <w:rPr>
                <w:rFonts w:hint="eastAsia" w:ascii="宋体" w:hAnsi="宋体"/>
                <w:kern w:val="0"/>
                <w:szCs w:val="21"/>
              </w:rPr>
              <w:t>签订</w:t>
            </w:r>
            <w:r>
              <w:rPr>
                <w:rFonts w:ascii="宋体" w:hAnsi="宋体"/>
                <w:kern w:val="0"/>
                <w:szCs w:val="21"/>
              </w:rPr>
              <w:t>合同，并同时书面通知相关银行向中标人和其他中标候选人注销投标保函。具体投标保函注销事宜由投标人与银行协商。</w:t>
            </w:r>
          </w:p>
          <w:p>
            <w:pPr>
              <w:snapToGrid w:val="0"/>
              <w:spacing w:line="360" w:lineRule="exact"/>
              <w:ind w:firstLine="422" w:firstLineChars="200"/>
              <w:rPr>
                <w:rFonts w:ascii="宋体" w:hAnsi="宋体"/>
                <w:b/>
                <w:kern w:val="0"/>
                <w:szCs w:val="21"/>
              </w:rPr>
            </w:pPr>
            <w:r>
              <w:rPr>
                <w:rFonts w:hint="eastAsia" w:ascii="宋体" w:hAnsi="宋体"/>
                <w:b/>
                <w:kern w:val="0"/>
                <w:szCs w:val="21"/>
              </w:rPr>
              <w:t>方式二</w:t>
            </w:r>
          </w:p>
          <w:p>
            <w:pPr>
              <w:snapToGrid w:val="0"/>
              <w:spacing w:line="360" w:lineRule="exact"/>
              <w:ind w:firstLine="420" w:firstLineChars="200"/>
              <w:rPr>
                <w:rFonts w:ascii="宋体" w:hAnsi="宋体" w:cs="MingLiU"/>
                <w:kern w:val="0"/>
                <w:szCs w:val="21"/>
              </w:rPr>
            </w:pPr>
            <w:r>
              <w:rPr>
                <w:rFonts w:hint="eastAsia" w:ascii="宋体" w:hAnsi="宋体" w:cs="MingLiU"/>
                <w:kern w:val="0"/>
                <w:szCs w:val="21"/>
              </w:rPr>
              <w:t>一、投标保证金的交纳</w:t>
            </w:r>
          </w:p>
          <w:p>
            <w:pPr>
              <w:snapToGrid w:val="0"/>
              <w:spacing w:line="360" w:lineRule="exact"/>
              <w:ind w:firstLine="420" w:firstLineChars="200"/>
              <w:rPr>
                <w:rFonts w:hint="eastAsia" w:ascii="宋体" w:hAnsi="宋体" w:cs="MingLiU"/>
                <w:kern w:val="0"/>
                <w:szCs w:val="21"/>
              </w:rPr>
            </w:pPr>
            <w:r>
              <w:rPr>
                <w:rFonts w:hint="eastAsia" w:ascii="宋体" w:hAnsi="宋体" w:cs="MingLiU"/>
                <w:kern w:val="0"/>
                <w:szCs w:val="21"/>
              </w:rPr>
              <w:t>1、投标保证金交款形式及要求：投标人从企业的基本账户（开户行）在投标截止时间前通过转账支票直接划付或以电汇方式直接划付至下面指定的投标保证金账户，否则，投标保证金无效。投标人自行考虑汇入时间风险，如同城汇入、异地汇入、跨行汇入的时间要求。</w:t>
            </w:r>
          </w:p>
          <w:p>
            <w:pPr>
              <w:pStyle w:val="2"/>
              <w:ind w:firstLine="420" w:firstLineChars="200"/>
              <w:rPr>
                <w:rFonts w:hint="eastAsia" w:ascii="宋体" w:hAnsi="宋体" w:cs="MingLiU"/>
                <w:kern w:val="0"/>
                <w:szCs w:val="21"/>
                <w:lang w:eastAsia="zh-CN"/>
              </w:rPr>
            </w:pPr>
            <w:r>
              <w:rPr>
                <w:rFonts w:hint="eastAsia" w:ascii="宋体" w:hAnsi="宋体" w:cs="MingLiU"/>
                <w:kern w:val="0"/>
                <w:szCs w:val="21"/>
                <w:lang w:eastAsia="zh-CN"/>
              </w:rPr>
              <w:t>账户名：重庆市铜梁区财政局</w:t>
            </w:r>
          </w:p>
          <w:p>
            <w:pPr>
              <w:pStyle w:val="3"/>
              <w:ind w:left="0" w:leftChars="0" w:firstLine="420" w:firstLineChars="200"/>
              <w:rPr>
                <w:rFonts w:hint="eastAsia" w:ascii="宋体" w:hAnsi="宋体" w:cs="MingLiU"/>
                <w:kern w:val="0"/>
                <w:szCs w:val="21"/>
                <w:lang w:val="en-US" w:eastAsia="zh-CN"/>
              </w:rPr>
            </w:pPr>
            <w:r>
              <w:rPr>
                <w:rFonts w:hint="eastAsia" w:ascii="宋体" w:hAnsi="宋体" w:cs="MingLiU"/>
                <w:kern w:val="0"/>
                <w:szCs w:val="21"/>
                <w:lang w:eastAsia="zh-CN"/>
              </w:rPr>
              <w:t>账号：</w:t>
            </w:r>
            <w:r>
              <w:rPr>
                <w:rFonts w:hint="eastAsia" w:ascii="宋体" w:hAnsi="宋体" w:cs="MingLiU"/>
                <w:kern w:val="0"/>
                <w:szCs w:val="21"/>
                <w:lang w:val="en-US" w:eastAsia="zh-CN"/>
              </w:rPr>
              <w:t>01680164300001621003</w:t>
            </w:r>
          </w:p>
          <w:p>
            <w:pPr>
              <w:ind w:firstLine="420" w:firstLineChars="200"/>
              <w:rPr>
                <w:rFonts w:hint="eastAsia" w:ascii="宋体" w:hAnsi="宋体" w:cs="MingLiU"/>
                <w:kern w:val="0"/>
                <w:szCs w:val="21"/>
                <w:lang w:val="en-US" w:eastAsia="zh-CN"/>
              </w:rPr>
            </w:pPr>
            <w:r>
              <w:rPr>
                <w:rFonts w:hint="eastAsia" w:ascii="宋体" w:hAnsi="宋体" w:cs="MingLiU"/>
                <w:kern w:val="0"/>
                <w:szCs w:val="21"/>
                <w:lang w:val="en-US" w:eastAsia="zh-CN"/>
              </w:rPr>
              <w:t>开户行：重庆三峡银行铜梁支行</w:t>
            </w:r>
          </w:p>
          <w:p>
            <w:pPr>
              <w:pStyle w:val="2"/>
              <w:ind w:firstLine="420" w:firstLineChars="200"/>
              <w:rPr>
                <w:rFonts w:hint="default"/>
                <w:color w:val="FF0000"/>
                <w:lang w:val="en-US" w:eastAsia="zh-CN"/>
              </w:rPr>
            </w:pPr>
            <w:r>
              <w:rPr>
                <w:rFonts w:hint="eastAsia" w:ascii="宋体" w:hAnsi="宋体" w:cs="MingLiU"/>
                <w:kern w:val="0"/>
                <w:szCs w:val="21"/>
                <w:lang w:val="en-US" w:eastAsia="zh-CN"/>
              </w:rPr>
              <w:t>请一定要备注：“</w:t>
            </w:r>
            <w:r>
              <w:rPr>
                <w:rFonts w:hint="eastAsia" w:ascii="宋体" w:hAnsi="宋体" w:cs="MingLiU"/>
                <w:color w:val="FF0000"/>
                <w:kern w:val="0"/>
                <w:szCs w:val="21"/>
                <w:lang w:val="en-US" w:eastAsia="zh-CN"/>
              </w:rPr>
              <w:t>370001952工业园区管委会工人新村停车场投标保证金</w:t>
            </w:r>
            <w:r>
              <w:rPr>
                <w:rFonts w:hint="eastAsia" w:ascii="宋体" w:hAnsi="宋体" w:cs="MingLiU"/>
                <w:kern w:val="0"/>
                <w:szCs w:val="21"/>
                <w:lang w:val="en-US" w:eastAsia="zh-CN"/>
              </w:rPr>
              <w:t>”</w:t>
            </w:r>
            <w:r>
              <w:rPr>
                <w:rFonts w:hint="eastAsia" w:ascii="宋体" w:hAnsi="宋体" w:cs="MingLiU"/>
                <w:color w:val="FF0000"/>
                <w:kern w:val="0"/>
                <w:szCs w:val="21"/>
                <w:lang w:val="en-US" w:eastAsia="zh-CN"/>
              </w:rPr>
              <w:t>，否则由此造成的保证金不到账或无法退还等后果自负。</w:t>
            </w:r>
          </w:p>
          <w:p>
            <w:pPr>
              <w:snapToGrid w:val="0"/>
              <w:spacing w:line="360" w:lineRule="exact"/>
              <w:ind w:firstLine="420" w:firstLineChars="200"/>
              <w:rPr>
                <w:rFonts w:ascii="宋体" w:hAnsi="宋体" w:cs="MingLiU"/>
                <w:color w:val="auto"/>
                <w:kern w:val="0"/>
                <w:szCs w:val="21"/>
              </w:rPr>
            </w:pPr>
            <w:r>
              <w:rPr>
                <w:rFonts w:hint="eastAsia" w:ascii="宋体" w:hAnsi="宋体" w:cs="MingLiU"/>
                <w:kern w:val="0"/>
                <w:szCs w:val="21"/>
              </w:rPr>
              <w:t>2、投标保证金的金</w:t>
            </w:r>
            <w:r>
              <w:rPr>
                <w:rFonts w:hint="eastAsia" w:ascii="宋体" w:hAnsi="宋体" w:cs="MingLiU"/>
                <w:color w:val="auto"/>
                <w:kern w:val="0"/>
                <w:szCs w:val="21"/>
              </w:rPr>
              <w:t>额：</w:t>
            </w:r>
            <w:r>
              <w:rPr>
                <w:rFonts w:hint="eastAsia" w:ascii="宋体" w:hAnsi="宋体"/>
                <w:color w:val="auto"/>
                <w:kern w:val="0"/>
                <w:szCs w:val="21"/>
                <w:highlight w:val="none"/>
                <w:u w:val="single"/>
                <w:lang w:val="en-US" w:eastAsia="zh-CN"/>
              </w:rPr>
              <w:t>6900.00元</w:t>
            </w:r>
            <w:r>
              <w:rPr>
                <w:rFonts w:ascii="宋体" w:hAnsi="宋体"/>
                <w:color w:val="auto"/>
                <w:kern w:val="0"/>
                <w:szCs w:val="21"/>
                <w:highlight w:val="none"/>
              </w:rPr>
              <w:t>（人民</w:t>
            </w:r>
            <w:r>
              <w:rPr>
                <w:rFonts w:ascii="宋体" w:hAnsi="宋体"/>
                <w:color w:val="auto"/>
                <w:kern w:val="0"/>
                <w:szCs w:val="21"/>
              </w:rPr>
              <w:t>币）</w:t>
            </w:r>
          </w:p>
          <w:p>
            <w:pPr>
              <w:snapToGrid w:val="0"/>
              <w:spacing w:line="360" w:lineRule="exact"/>
              <w:ind w:firstLine="420" w:firstLineChars="200"/>
              <w:rPr>
                <w:rFonts w:ascii="宋体" w:hAnsi="宋体"/>
                <w:kern w:val="0"/>
                <w:szCs w:val="21"/>
              </w:rPr>
            </w:pPr>
            <w:r>
              <w:rPr>
                <w:rFonts w:hint="eastAsia" w:ascii="宋体" w:hAnsi="宋体"/>
                <w:kern w:val="0"/>
                <w:szCs w:val="21"/>
              </w:rPr>
              <w:t>红名单中的投标人投标保证金金额可减半。</w:t>
            </w:r>
          </w:p>
          <w:p>
            <w:pPr>
              <w:snapToGrid w:val="0"/>
              <w:spacing w:line="360" w:lineRule="exact"/>
              <w:ind w:firstLine="420" w:firstLineChars="200"/>
              <w:rPr>
                <w:rFonts w:ascii="宋体" w:hAnsi="宋体" w:cs="MingLiU"/>
                <w:kern w:val="0"/>
                <w:szCs w:val="21"/>
              </w:rPr>
            </w:pPr>
            <w:r>
              <w:rPr>
                <w:rFonts w:hint="eastAsia" w:ascii="宋体" w:hAnsi="宋体" w:cs="MingLiU"/>
                <w:kern w:val="0"/>
                <w:szCs w:val="21"/>
              </w:rPr>
              <w:t>3</w:t>
            </w:r>
            <w:r>
              <w:rPr>
                <w:rFonts w:hint="eastAsia" w:ascii="宋体" w:hAnsi="宋体" w:cs="MingLiU"/>
                <w:kern w:val="0"/>
                <w:szCs w:val="21"/>
                <w:lang w:eastAsia="zh-CN"/>
              </w:rPr>
              <w:t>、</w:t>
            </w:r>
            <w:r>
              <w:rPr>
                <w:rFonts w:hint="eastAsia" w:ascii="宋体" w:hAnsi="宋体" w:cs="MingLiU"/>
                <w:kern w:val="0"/>
                <w:szCs w:val="21"/>
              </w:rPr>
              <w:t>投标保证金有效期与投标有效期一致。</w:t>
            </w:r>
          </w:p>
          <w:p>
            <w:pPr>
              <w:snapToGrid w:val="0"/>
              <w:spacing w:line="360" w:lineRule="exact"/>
              <w:ind w:firstLine="420" w:firstLineChars="200"/>
              <w:rPr>
                <w:rFonts w:ascii="宋体" w:hAnsi="宋体" w:cs="MingLiU"/>
                <w:kern w:val="0"/>
                <w:szCs w:val="21"/>
              </w:rPr>
            </w:pPr>
            <w:r>
              <w:rPr>
                <w:rFonts w:hint="eastAsia" w:ascii="宋体" w:hAnsi="宋体" w:cs="MingLiU"/>
                <w:kern w:val="0"/>
                <w:szCs w:val="21"/>
              </w:rPr>
              <w:t>二、投标保证金的退还</w:t>
            </w:r>
          </w:p>
          <w:p>
            <w:pPr>
              <w:snapToGrid w:val="0"/>
              <w:spacing w:line="360" w:lineRule="exact"/>
              <w:ind w:firstLine="420" w:firstLineChars="200"/>
              <w:rPr>
                <w:rFonts w:ascii="宋体" w:hAnsi="宋体" w:cs="宋体"/>
                <w:kern w:val="0"/>
                <w:szCs w:val="21"/>
              </w:rPr>
            </w:pPr>
            <w:r>
              <w:rPr>
                <w:rFonts w:hint="eastAsia" w:ascii="宋体" w:hAnsi="宋体" w:cs="宋体"/>
                <w:kern w:val="0"/>
                <w:szCs w:val="21"/>
                <w:lang w:eastAsia="zh-CN"/>
              </w:rPr>
              <w:t>比选</w:t>
            </w:r>
            <w:r>
              <w:rPr>
                <w:rFonts w:hint="eastAsia" w:ascii="宋体" w:hAnsi="宋体" w:cs="宋体"/>
                <w:kern w:val="0"/>
                <w:szCs w:val="21"/>
              </w:rPr>
              <w:t>人应当在法定时间内确定中标人。</w:t>
            </w:r>
            <w:r>
              <w:rPr>
                <w:rFonts w:hint="eastAsia" w:ascii="宋体" w:hAnsi="宋体" w:cs="宋体"/>
                <w:kern w:val="0"/>
                <w:szCs w:val="21"/>
                <w:lang w:eastAsia="zh-CN"/>
              </w:rPr>
              <w:t>比选</w:t>
            </w:r>
            <w:r>
              <w:rPr>
                <w:rFonts w:hint="eastAsia" w:ascii="宋体" w:hAnsi="宋体" w:cs="宋体"/>
                <w:kern w:val="0"/>
                <w:szCs w:val="21"/>
              </w:rPr>
              <w:t>人应当在中标通知书发出后</w:t>
            </w:r>
            <w:r>
              <w:rPr>
                <w:rFonts w:hint="eastAsia" w:ascii="宋体" w:hAnsi="宋体" w:cs="宋体"/>
                <w:kern w:val="0"/>
                <w:szCs w:val="21"/>
                <w:lang w:val="en-US" w:eastAsia="zh-CN"/>
              </w:rPr>
              <w:t>5</w:t>
            </w:r>
            <w:r>
              <w:rPr>
                <w:rFonts w:hint="eastAsia" w:ascii="宋体" w:hAnsi="宋体" w:cs="宋体"/>
                <w:kern w:val="0"/>
                <w:szCs w:val="21"/>
              </w:rPr>
              <w:t>个工作日内向除中标人和中标候选人以外的投标人退还投标保证金。</w:t>
            </w:r>
          </w:p>
          <w:p>
            <w:pPr>
              <w:snapToGrid w:val="0"/>
              <w:spacing w:line="360" w:lineRule="exact"/>
              <w:ind w:firstLine="420" w:firstLineChars="200"/>
              <w:rPr>
                <w:rFonts w:ascii="宋体" w:hAnsi="宋体" w:cs="宋体"/>
                <w:kern w:val="0"/>
                <w:szCs w:val="21"/>
              </w:rPr>
            </w:pPr>
            <w:r>
              <w:rPr>
                <w:rFonts w:hint="eastAsia" w:ascii="宋体" w:hAnsi="宋体" w:cs="宋体"/>
                <w:kern w:val="0"/>
                <w:szCs w:val="21"/>
                <w:lang w:eastAsia="zh-CN"/>
              </w:rPr>
              <w:t>比选</w:t>
            </w:r>
            <w:r>
              <w:rPr>
                <w:rFonts w:hint="eastAsia" w:ascii="宋体" w:hAnsi="宋体" w:cs="宋体"/>
                <w:kern w:val="0"/>
                <w:szCs w:val="21"/>
              </w:rPr>
              <w:t>人应当在法定时间内和中标人签订合同。</w:t>
            </w:r>
            <w:r>
              <w:rPr>
                <w:rFonts w:hint="eastAsia" w:ascii="宋体" w:hAnsi="宋体" w:cs="宋体"/>
                <w:kern w:val="0"/>
                <w:szCs w:val="21"/>
                <w:lang w:eastAsia="zh-CN"/>
              </w:rPr>
              <w:t>比选</w:t>
            </w:r>
            <w:r>
              <w:rPr>
                <w:rFonts w:hint="eastAsia" w:ascii="宋体" w:hAnsi="宋体" w:cs="宋体"/>
                <w:kern w:val="0"/>
                <w:szCs w:val="21"/>
              </w:rPr>
              <w:t>人应当在</w:t>
            </w:r>
            <w:r>
              <w:rPr>
                <w:rFonts w:hint="eastAsia" w:ascii="宋体" w:hAnsi="宋体" w:cs="宋体"/>
                <w:kern w:val="0"/>
                <w:szCs w:val="21"/>
                <w:lang w:eastAsia="zh-CN"/>
              </w:rPr>
              <w:t>签订</w:t>
            </w:r>
            <w:r>
              <w:rPr>
                <w:rFonts w:hint="eastAsia" w:ascii="宋体" w:hAnsi="宋体" w:cs="宋体"/>
                <w:kern w:val="0"/>
                <w:szCs w:val="21"/>
              </w:rPr>
              <w:t>合同</w:t>
            </w:r>
            <w:r>
              <w:rPr>
                <w:rFonts w:hint="eastAsia" w:ascii="宋体" w:hAnsi="宋体" w:cs="宋体"/>
                <w:kern w:val="0"/>
                <w:szCs w:val="21"/>
                <w:lang w:eastAsia="zh-CN"/>
              </w:rPr>
              <w:t>后</w:t>
            </w:r>
            <w:r>
              <w:rPr>
                <w:rFonts w:hint="eastAsia" w:ascii="宋体" w:hAnsi="宋体" w:cs="宋体"/>
                <w:kern w:val="0"/>
                <w:szCs w:val="21"/>
                <w:lang w:val="en-US" w:eastAsia="zh-CN"/>
              </w:rPr>
              <w:t>5</w:t>
            </w:r>
            <w:r>
              <w:rPr>
                <w:rFonts w:hint="eastAsia" w:ascii="宋体" w:hAnsi="宋体" w:cs="宋体"/>
                <w:kern w:val="0"/>
                <w:szCs w:val="21"/>
              </w:rPr>
              <w:t>个工作日内，向中标候选人退还投标保证金。</w:t>
            </w:r>
          </w:p>
          <w:p>
            <w:pPr>
              <w:spacing w:line="360" w:lineRule="auto"/>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78"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3.5</w:t>
            </w:r>
          </w:p>
        </w:tc>
        <w:tc>
          <w:tcPr>
            <w:tcW w:w="1664"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资格审查资料</w:t>
            </w:r>
          </w:p>
        </w:tc>
        <w:tc>
          <w:tcPr>
            <w:tcW w:w="6948" w:type="dxa"/>
            <w:gridSpan w:val="2"/>
            <w:vAlign w:val="center"/>
          </w:tcPr>
          <w:p>
            <w:pPr>
              <w:snapToGrid w:val="0"/>
              <w:spacing w:line="320" w:lineRule="exact"/>
              <w:ind w:firstLine="420" w:firstLineChars="200"/>
              <w:rPr>
                <w:rFonts w:ascii="宋体" w:hAnsi="宋体" w:cs="宋体"/>
                <w:kern w:val="0"/>
                <w:szCs w:val="21"/>
              </w:rPr>
            </w:pPr>
            <w:r>
              <w:rPr>
                <w:rFonts w:hint="eastAsia" w:ascii="宋体" w:hAnsi="宋体" w:cs="宋体"/>
                <w:kern w:val="0"/>
                <w:szCs w:val="21"/>
              </w:rPr>
              <w:t>本须知1.4.1项和第3.5项规定提供的资料均需提供原件备查。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78" w:type="dxa"/>
            <w:vAlign w:val="center"/>
          </w:tcPr>
          <w:p>
            <w:pPr>
              <w:snapToGrid w:val="0"/>
              <w:spacing w:line="300" w:lineRule="auto"/>
              <w:jc w:val="center"/>
              <w:rPr>
                <w:rFonts w:ascii="宋体" w:cs="仿宋"/>
                <w:kern w:val="0"/>
                <w:szCs w:val="21"/>
              </w:rPr>
            </w:pPr>
            <w:r>
              <w:rPr>
                <w:rFonts w:ascii="宋体" w:cs="仿宋"/>
                <w:kern w:val="0"/>
                <w:szCs w:val="21"/>
              </w:rPr>
              <w:t>3.6</w:t>
            </w:r>
          </w:p>
        </w:tc>
        <w:tc>
          <w:tcPr>
            <w:tcW w:w="1664" w:type="dxa"/>
            <w:vAlign w:val="center"/>
          </w:tcPr>
          <w:p>
            <w:pPr>
              <w:snapToGrid w:val="0"/>
              <w:spacing w:line="288" w:lineRule="auto"/>
              <w:jc w:val="center"/>
              <w:rPr>
                <w:rFonts w:ascii="宋体" w:cs="仿宋"/>
                <w:kern w:val="0"/>
                <w:szCs w:val="21"/>
              </w:rPr>
            </w:pPr>
            <w:r>
              <w:rPr>
                <w:rFonts w:hint="eastAsia" w:ascii="宋体" w:cs="仿宋"/>
                <w:kern w:val="0"/>
                <w:szCs w:val="21"/>
              </w:rPr>
              <w:t>是否允许递交备选投标方案</w:t>
            </w:r>
          </w:p>
        </w:tc>
        <w:tc>
          <w:tcPr>
            <w:tcW w:w="6948" w:type="dxa"/>
            <w:gridSpan w:val="2"/>
            <w:vAlign w:val="center"/>
          </w:tcPr>
          <w:p>
            <w:pPr>
              <w:snapToGrid w:val="0"/>
              <w:spacing w:line="288" w:lineRule="auto"/>
              <w:ind w:firstLine="210" w:firstLineChars="100"/>
              <w:rPr>
                <w:rFonts w:ascii="宋体" w:cs="仿宋"/>
                <w:kern w:val="0"/>
                <w:szCs w:val="21"/>
              </w:rPr>
            </w:pPr>
            <w:r>
              <w:rPr>
                <w:rFonts w:hint="eastAsia" w:ascii="宋体" w:cs="仿宋"/>
                <w:kern w:val="0"/>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278" w:type="dxa"/>
            <w:vAlign w:val="center"/>
          </w:tcPr>
          <w:p>
            <w:pPr>
              <w:spacing w:line="360" w:lineRule="exact"/>
              <w:jc w:val="center"/>
              <w:rPr>
                <w:rFonts w:ascii="宋体" w:hAnsi="宋体" w:cs="宋体"/>
                <w:kern w:val="0"/>
                <w:szCs w:val="21"/>
              </w:rPr>
            </w:pPr>
            <w:r>
              <w:rPr>
                <w:rFonts w:hint="eastAsia" w:ascii="宋体" w:hAnsi="宋体" w:cs="宋体"/>
                <w:kern w:val="0"/>
                <w:szCs w:val="21"/>
              </w:rPr>
              <w:t>3.7.3</w:t>
            </w:r>
          </w:p>
        </w:tc>
        <w:tc>
          <w:tcPr>
            <w:tcW w:w="1664" w:type="dxa"/>
            <w:vAlign w:val="center"/>
          </w:tcPr>
          <w:p>
            <w:pPr>
              <w:spacing w:line="360" w:lineRule="exact"/>
              <w:jc w:val="center"/>
              <w:rPr>
                <w:rFonts w:ascii="宋体" w:hAnsi="宋体" w:cs="宋体"/>
                <w:kern w:val="0"/>
                <w:szCs w:val="21"/>
              </w:rPr>
            </w:pPr>
            <w:r>
              <w:rPr>
                <w:rFonts w:hint="eastAsia" w:ascii="宋体" w:hAnsi="宋体" w:cs="宋体"/>
                <w:kern w:val="0"/>
                <w:szCs w:val="21"/>
              </w:rPr>
              <w:t>签字或盖章要求</w:t>
            </w:r>
          </w:p>
        </w:tc>
        <w:tc>
          <w:tcPr>
            <w:tcW w:w="6948" w:type="dxa"/>
            <w:gridSpan w:val="2"/>
            <w:vAlign w:val="center"/>
          </w:tcPr>
          <w:p>
            <w:pPr>
              <w:spacing w:line="360" w:lineRule="exact"/>
              <w:rPr>
                <w:rFonts w:ascii="宋体" w:hAnsi="宋体" w:cs="宋体"/>
                <w:kern w:val="0"/>
                <w:szCs w:val="21"/>
              </w:rPr>
            </w:pPr>
            <w:r>
              <w:rPr>
                <w:rFonts w:hint="eastAsia" w:ascii="宋体" w:hAnsi="宋体" w:cs="宋体"/>
                <w:kern w:val="0"/>
                <w:szCs w:val="21"/>
              </w:rPr>
              <w:t>按本章投标人须知3.7.3款执行。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278" w:type="dxa"/>
            <w:vAlign w:val="center"/>
          </w:tcPr>
          <w:p>
            <w:pPr>
              <w:snapToGrid w:val="0"/>
              <w:spacing w:line="440" w:lineRule="exact"/>
              <w:jc w:val="center"/>
              <w:rPr>
                <w:rFonts w:ascii="宋体" w:cs="仿宋"/>
                <w:kern w:val="0"/>
                <w:szCs w:val="21"/>
              </w:rPr>
            </w:pPr>
            <w:r>
              <w:rPr>
                <w:rFonts w:ascii="宋体" w:cs="仿宋"/>
                <w:kern w:val="0"/>
                <w:szCs w:val="21"/>
              </w:rPr>
              <w:t>3.7.4</w:t>
            </w:r>
          </w:p>
        </w:tc>
        <w:tc>
          <w:tcPr>
            <w:tcW w:w="1664" w:type="dxa"/>
            <w:vAlign w:val="center"/>
          </w:tcPr>
          <w:p>
            <w:pPr>
              <w:snapToGrid w:val="0"/>
              <w:spacing w:line="440" w:lineRule="exact"/>
              <w:jc w:val="center"/>
              <w:rPr>
                <w:rFonts w:ascii="宋体" w:cs="仿宋"/>
                <w:kern w:val="0"/>
                <w:szCs w:val="21"/>
              </w:rPr>
            </w:pPr>
            <w:r>
              <w:rPr>
                <w:rFonts w:hint="eastAsia" w:ascii="宋体" w:cs="仿宋"/>
                <w:kern w:val="0"/>
                <w:szCs w:val="21"/>
              </w:rPr>
              <w:t>投标文件的</w:t>
            </w:r>
          </w:p>
          <w:p>
            <w:pPr>
              <w:snapToGrid w:val="0"/>
              <w:spacing w:line="440" w:lineRule="exact"/>
              <w:jc w:val="center"/>
              <w:rPr>
                <w:rFonts w:ascii="宋体" w:cs="仿宋"/>
                <w:kern w:val="0"/>
                <w:szCs w:val="21"/>
              </w:rPr>
            </w:pPr>
            <w:r>
              <w:rPr>
                <w:rFonts w:hint="eastAsia" w:ascii="宋体" w:cs="仿宋"/>
                <w:kern w:val="0"/>
                <w:szCs w:val="21"/>
              </w:rPr>
              <w:t>份数</w:t>
            </w:r>
          </w:p>
        </w:tc>
        <w:tc>
          <w:tcPr>
            <w:tcW w:w="6948" w:type="dxa"/>
            <w:gridSpan w:val="2"/>
            <w:vAlign w:val="center"/>
          </w:tcPr>
          <w:p>
            <w:pPr>
              <w:autoSpaceDE w:val="0"/>
              <w:autoSpaceDN w:val="0"/>
              <w:adjustRightInd w:val="0"/>
              <w:spacing w:line="400" w:lineRule="exact"/>
              <w:ind w:firstLine="420" w:firstLineChars="200"/>
              <w:jc w:val="left"/>
              <w:rPr>
                <w:rFonts w:ascii="宋体" w:hAnsi="宋体"/>
                <w:szCs w:val="21"/>
              </w:rPr>
            </w:pPr>
            <w:r>
              <w:rPr>
                <w:rFonts w:hint="eastAsia" w:ascii="宋体" w:hAnsi="宋体"/>
                <w:szCs w:val="21"/>
              </w:rPr>
              <w:t>投标函部分：一式3份（正本1份，副本2份）；</w:t>
            </w:r>
          </w:p>
          <w:p>
            <w:pPr>
              <w:widowControl/>
              <w:autoSpaceDE w:val="0"/>
              <w:autoSpaceDN w:val="0"/>
              <w:adjustRightInd w:val="0"/>
              <w:snapToGrid w:val="0"/>
              <w:spacing w:line="400" w:lineRule="exact"/>
              <w:ind w:firstLine="420" w:firstLineChars="200"/>
              <w:rPr>
                <w:rFonts w:ascii="宋体" w:hAnsi="宋体"/>
                <w:b/>
                <w:szCs w:val="21"/>
              </w:rPr>
            </w:pPr>
            <w:r>
              <w:rPr>
                <w:rFonts w:hint="eastAsia" w:ascii="宋体" w:hAnsi="宋体"/>
                <w:szCs w:val="21"/>
              </w:rPr>
              <w:t>商务部分：一式3份（正本1份，副本2份），</w:t>
            </w:r>
            <w:r>
              <w:rPr>
                <w:rFonts w:hint="eastAsia" w:ascii="宋体" w:hAnsi="宋体"/>
                <w:b/>
                <w:szCs w:val="21"/>
              </w:rPr>
              <w:t>另需提供电子光盘一张，电子光盘须标明本工程名称并加盖投标人单位章。</w:t>
            </w:r>
          </w:p>
          <w:p>
            <w:pPr>
              <w:widowControl/>
              <w:autoSpaceDE w:val="0"/>
              <w:autoSpaceDN w:val="0"/>
              <w:adjustRightInd w:val="0"/>
              <w:snapToGrid w:val="0"/>
              <w:spacing w:line="400" w:lineRule="exact"/>
              <w:ind w:firstLine="420" w:firstLineChars="200"/>
              <w:rPr>
                <w:rFonts w:ascii="宋体" w:cs="仿宋"/>
                <w:kern w:val="0"/>
                <w:szCs w:val="21"/>
              </w:rPr>
            </w:pPr>
            <w:r>
              <w:rPr>
                <w:rFonts w:hint="eastAsia" w:ascii="宋体" w:hAnsi="宋体"/>
                <w:szCs w:val="21"/>
              </w:rPr>
              <w:t>资格审查部分：一式3份（正本1份，副本2份）。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278" w:type="dxa"/>
            <w:vAlign w:val="center"/>
          </w:tcPr>
          <w:p>
            <w:pPr>
              <w:snapToGrid w:val="0"/>
              <w:spacing w:line="300" w:lineRule="auto"/>
              <w:jc w:val="center"/>
              <w:rPr>
                <w:rFonts w:ascii="宋体" w:cs="仿宋"/>
                <w:kern w:val="0"/>
                <w:szCs w:val="21"/>
              </w:rPr>
            </w:pPr>
            <w:r>
              <w:rPr>
                <w:rFonts w:ascii="宋体" w:cs="仿宋"/>
                <w:kern w:val="0"/>
                <w:szCs w:val="21"/>
              </w:rPr>
              <w:t>3.7.5</w:t>
            </w:r>
          </w:p>
        </w:tc>
        <w:tc>
          <w:tcPr>
            <w:tcW w:w="1664" w:type="dxa"/>
            <w:vAlign w:val="center"/>
          </w:tcPr>
          <w:p>
            <w:pPr>
              <w:snapToGrid w:val="0"/>
              <w:spacing w:line="288" w:lineRule="auto"/>
              <w:rPr>
                <w:rFonts w:ascii="宋体" w:cs="仿宋"/>
                <w:kern w:val="0"/>
                <w:szCs w:val="21"/>
              </w:rPr>
            </w:pPr>
            <w:r>
              <w:rPr>
                <w:rFonts w:ascii="宋体" w:cs="仿宋"/>
                <w:kern w:val="0"/>
                <w:szCs w:val="21"/>
              </w:rPr>
              <w:t xml:space="preserve">  </w:t>
            </w:r>
            <w:r>
              <w:rPr>
                <w:rFonts w:hint="eastAsia" w:ascii="宋体" w:cs="仿宋"/>
                <w:kern w:val="0"/>
                <w:szCs w:val="21"/>
              </w:rPr>
              <w:t>装订要求</w:t>
            </w:r>
          </w:p>
        </w:tc>
        <w:tc>
          <w:tcPr>
            <w:tcW w:w="6948" w:type="dxa"/>
            <w:gridSpan w:val="2"/>
            <w:vAlign w:val="center"/>
          </w:tcPr>
          <w:p>
            <w:pPr>
              <w:adjustRightInd w:val="0"/>
              <w:snapToGrid w:val="0"/>
              <w:spacing w:line="400" w:lineRule="exact"/>
              <w:ind w:firstLine="420" w:firstLineChars="200"/>
              <w:rPr>
                <w:rFonts w:ascii="宋体" w:hAnsi="宋体"/>
                <w:szCs w:val="21"/>
              </w:rPr>
            </w:pPr>
            <w:r>
              <w:rPr>
                <w:rFonts w:hint="eastAsia" w:ascii="宋体" w:hAnsi="宋体"/>
                <w:szCs w:val="21"/>
              </w:rPr>
              <w:t>1、应将投标函部分、商务部分、资格审查资料各自分别装订成册。</w:t>
            </w:r>
          </w:p>
          <w:p>
            <w:pPr>
              <w:adjustRightInd w:val="0"/>
              <w:snapToGrid w:val="0"/>
              <w:spacing w:line="400" w:lineRule="exact"/>
              <w:ind w:firstLine="420" w:firstLineChars="200"/>
              <w:rPr>
                <w:rFonts w:ascii="宋体" w:hAnsi="宋体"/>
                <w:szCs w:val="21"/>
              </w:rPr>
            </w:pPr>
            <w:r>
              <w:rPr>
                <w:rFonts w:hint="eastAsia" w:ascii="宋体" w:hAnsi="宋体"/>
                <w:szCs w:val="21"/>
              </w:rPr>
              <w:t>2、装订</w:t>
            </w:r>
          </w:p>
          <w:p>
            <w:pPr>
              <w:adjustRightInd w:val="0"/>
              <w:snapToGrid w:val="0"/>
              <w:spacing w:line="400" w:lineRule="exact"/>
              <w:ind w:firstLine="420" w:firstLineChars="200"/>
              <w:rPr>
                <w:rFonts w:ascii="宋体" w:hAnsi="宋体"/>
                <w:szCs w:val="21"/>
              </w:rPr>
            </w:pPr>
            <w:r>
              <w:rPr>
                <w:rFonts w:hint="eastAsia" w:ascii="宋体" w:hAnsi="宋体"/>
                <w:szCs w:val="21"/>
              </w:rPr>
              <w:t>（1）投标函部分的装订要求</w:t>
            </w:r>
          </w:p>
          <w:p>
            <w:pPr>
              <w:adjustRightInd w:val="0"/>
              <w:snapToGrid w:val="0"/>
              <w:spacing w:line="400" w:lineRule="exact"/>
              <w:ind w:firstLine="420" w:firstLineChars="200"/>
              <w:rPr>
                <w:rFonts w:ascii="宋体" w:hAnsi="宋体"/>
                <w:szCs w:val="21"/>
              </w:rPr>
            </w:pPr>
            <w:r>
              <w:rPr>
                <w:rFonts w:hint="eastAsia" w:ascii="宋体" w:hAnsi="宋体"/>
                <w:szCs w:val="21"/>
              </w:rPr>
              <w:t>应按照第八章规定格式装订成册，并应编制目录。</w:t>
            </w:r>
          </w:p>
          <w:p>
            <w:pPr>
              <w:adjustRightInd w:val="0"/>
              <w:snapToGrid w:val="0"/>
              <w:spacing w:line="400" w:lineRule="exact"/>
              <w:ind w:firstLine="420" w:firstLineChars="200"/>
              <w:rPr>
                <w:rFonts w:ascii="宋体" w:hAnsi="宋体"/>
                <w:szCs w:val="21"/>
              </w:rPr>
            </w:pPr>
            <w:r>
              <w:rPr>
                <w:rFonts w:hint="eastAsia" w:ascii="宋体" w:hAnsi="宋体"/>
                <w:szCs w:val="21"/>
              </w:rPr>
              <w:t>（2）商务部分的装订要求</w:t>
            </w:r>
          </w:p>
          <w:p>
            <w:pPr>
              <w:adjustRightInd w:val="0"/>
              <w:snapToGrid w:val="0"/>
              <w:spacing w:line="400" w:lineRule="exact"/>
              <w:ind w:firstLine="420" w:firstLineChars="200"/>
              <w:rPr>
                <w:rFonts w:ascii="宋体" w:hAnsi="宋体"/>
                <w:szCs w:val="21"/>
              </w:rPr>
            </w:pPr>
            <w:r>
              <w:rPr>
                <w:rFonts w:hint="eastAsia" w:ascii="宋体" w:hAnsi="宋体"/>
                <w:szCs w:val="21"/>
              </w:rPr>
              <w:t>应按照第八章规定格式装订成册，并应编制目录。</w:t>
            </w:r>
          </w:p>
          <w:p>
            <w:pPr>
              <w:adjustRightInd w:val="0"/>
              <w:snapToGrid w:val="0"/>
              <w:spacing w:line="400" w:lineRule="exact"/>
              <w:ind w:firstLine="420" w:firstLineChars="200"/>
              <w:rPr>
                <w:rFonts w:ascii="楷体_GB2312" w:hAnsi="宋体" w:eastAsia="楷体_GB2312"/>
                <w:kern w:val="0"/>
                <w:szCs w:val="21"/>
              </w:rPr>
            </w:pPr>
            <w:r>
              <w:rPr>
                <w:rFonts w:hint="eastAsia" w:ascii="宋体" w:hAnsi="宋体"/>
                <w:szCs w:val="21"/>
              </w:rPr>
              <w:t>（3）</w:t>
            </w:r>
            <w:r>
              <w:rPr>
                <w:rFonts w:hint="eastAsia" w:ascii="宋体" w:hAnsi="宋体"/>
                <w:kern w:val="0"/>
                <w:szCs w:val="21"/>
              </w:rPr>
              <w:t>资格审查资料的装订要求</w:t>
            </w:r>
          </w:p>
          <w:p>
            <w:pPr>
              <w:adjustRightInd w:val="0"/>
              <w:snapToGrid w:val="0"/>
              <w:spacing w:line="400" w:lineRule="exact"/>
              <w:ind w:firstLine="420" w:firstLineChars="200"/>
              <w:rPr>
                <w:rFonts w:ascii="宋体" w:hAnsi="宋体" w:cs="宋体"/>
                <w:kern w:val="0"/>
                <w:szCs w:val="21"/>
              </w:rPr>
            </w:pPr>
            <w:r>
              <w:rPr>
                <w:rFonts w:hint="eastAsia" w:ascii="宋体" w:hAnsi="宋体"/>
                <w:szCs w:val="21"/>
              </w:rPr>
              <w:t>应按照第八章规定格式装订成册，并应编制目录</w:t>
            </w:r>
            <w:r>
              <w:rPr>
                <w:rFonts w:hint="eastAsia" w:ascii="宋体" w:hAnsi="宋体" w:cs="宋体"/>
                <w:kern w:val="0"/>
                <w:szCs w:val="21"/>
              </w:rPr>
              <w:t>。</w:t>
            </w:r>
          </w:p>
          <w:p>
            <w:pPr>
              <w:autoSpaceDE w:val="0"/>
              <w:autoSpaceDN w:val="0"/>
              <w:adjustRightInd w:val="0"/>
              <w:spacing w:line="400" w:lineRule="exact"/>
              <w:ind w:firstLine="422" w:firstLineChars="200"/>
              <w:jc w:val="left"/>
              <w:rPr>
                <w:rFonts w:ascii="宋体" w:cs="仿宋"/>
                <w:szCs w:val="21"/>
              </w:rPr>
            </w:pPr>
            <w:r>
              <w:rPr>
                <w:rFonts w:hint="eastAsia" w:ascii="黑体" w:hAnsi="宋体" w:eastAsia="黑体"/>
                <w:b/>
                <w:szCs w:val="21"/>
              </w:rPr>
              <w:t>（注：投标人必须保证投标文件装订牢固；比选人对由于投标文件装订松散而造成的丢失或其他后果不承担任何责任）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278" w:type="dxa"/>
            <w:vAlign w:val="center"/>
          </w:tcPr>
          <w:p>
            <w:pPr>
              <w:snapToGrid w:val="0"/>
              <w:spacing w:line="300" w:lineRule="auto"/>
              <w:jc w:val="center"/>
              <w:rPr>
                <w:rFonts w:ascii="宋体" w:cs="仿宋"/>
                <w:kern w:val="0"/>
                <w:szCs w:val="21"/>
              </w:rPr>
            </w:pPr>
            <w:r>
              <w:rPr>
                <w:rFonts w:ascii="宋体" w:cs="仿宋"/>
                <w:kern w:val="0"/>
                <w:szCs w:val="21"/>
              </w:rPr>
              <w:t>4.1.1</w:t>
            </w:r>
          </w:p>
        </w:tc>
        <w:tc>
          <w:tcPr>
            <w:tcW w:w="1664" w:type="dxa"/>
            <w:vAlign w:val="center"/>
          </w:tcPr>
          <w:p>
            <w:pPr>
              <w:pStyle w:val="25"/>
              <w:spacing w:line="380" w:lineRule="exact"/>
              <w:jc w:val="center"/>
              <w:rPr>
                <w:rFonts w:cs="仿宋"/>
                <w:kern w:val="0"/>
                <w:szCs w:val="21"/>
              </w:rPr>
            </w:pPr>
            <w:r>
              <w:rPr>
                <w:rFonts w:hint="eastAsia" w:cs="仿宋"/>
                <w:kern w:val="0"/>
                <w:szCs w:val="21"/>
              </w:rPr>
              <w:t>投标文件的密封</w:t>
            </w:r>
          </w:p>
        </w:tc>
        <w:tc>
          <w:tcPr>
            <w:tcW w:w="6948" w:type="dxa"/>
            <w:gridSpan w:val="2"/>
            <w:vAlign w:val="center"/>
          </w:tcPr>
          <w:p>
            <w:pPr>
              <w:autoSpaceDE w:val="0"/>
              <w:autoSpaceDN w:val="0"/>
              <w:adjustRightInd w:val="0"/>
              <w:spacing w:line="400" w:lineRule="exact"/>
              <w:ind w:firstLine="420" w:firstLineChars="200"/>
              <w:jc w:val="left"/>
              <w:rPr>
                <w:rFonts w:ascii="宋体" w:hAnsi="宋体"/>
                <w:szCs w:val="21"/>
              </w:rPr>
            </w:pPr>
            <w:r>
              <w:rPr>
                <w:rFonts w:hint="eastAsia" w:ascii="宋体" w:hAnsi="宋体"/>
                <w:szCs w:val="21"/>
              </w:rPr>
              <w:t>1.投标文件袋使用“投标函部分”袋、“商务部分”袋、“资格审查资料”袋以及“投标文件”大袋。</w:t>
            </w:r>
          </w:p>
          <w:p>
            <w:pPr>
              <w:autoSpaceDE w:val="0"/>
              <w:autoSpaceDN w:val="0"/>
              <w:adjustRightInd w:val="0"/>
              <w:spacing w:line="400" w:lineRule="exact"/>
              <w:ind w:firstLine="420" w:firstLineChars="200"/>
              <w:jc w:val="left"/>
              <w:rPr>
                <w:rFonts w:ascii="宋体" w:hAnsi="宋体"/>
                <w:szCs w:val="21"/>
              </w:rPr>
            </w:pPr>
            <w:r>
              <w:rPr>
                <w:rFonts w:hint="eastAsia" w:ascii="宋体" w:hAnsi="宋体"/>
                <w:szCs w:val="21"/>
              </w:rPr>
              <w:t>2.投标函部分装入“投标函部分”袋中，密封并在袋上加盖投标人单位公章。</w:t>
            </w:r>
          </w:p>
          <w:p>
            <w:pPr>
              <w:autoSpaceDE w:val="0"/>
              <w:autoSpaceDN w:val="0"/>
              <w:adjustRightInd w:val="0"/>
              <w:spacing w:line="400" w:lineRule="exact"/>
              <w:ind w:firstLine="420" w:firstLineChars="200"/>
              <w:jc w:val="left"/>
              <w:rPr>
                <w:rFonts w:ascii="宋体" w:hAnsi="宋体"/>
                <w:szCs w:val="21"/>
              </w:rPr>
            </w:pPr>
            <w:r>
              <w:rPr>
                <w:rFonts w:hint="eastAsia" w:ascii="宋体" w:hAnsi="宋体"/>
                <w:szCs w:val="21"/>
              </w:rPr>
              <w:t>3.商务部分</w:t>
            </w:r>
            <w:r>
              <w:rPr>
                <w:rFonts w:hint="eastAsia" w:ascii="黑体" w:hAnsi="宋体" w:eastAsia="黑体"/>
                <w:b/>
                <w:szCs w:val="21"/>
              </w:rPr>
              <w:t>（含电子光盘）</w:t>
            </w:r>
            <w:r>
              <w:rPr>
                <w:rFonts w:hint="eastAsia" w:ascii="宋体" w:hAnsi="宋体"/>
                <w:szCs w:val="21"/>
              </w:rPr>
              <w:t>装入“商务部分”袋中，密封并在袋上加盖投标人单位公章。</w:t>
            </w:r>
          </w:p>
          <w:p>
            <w:pPr>
              <w:autoSpaceDE w:val="0"/>
              <w:autoSpaceDN w:val="0"/>
              <w:adjustRightInd w:val="0"/>
              <w:spacing w:line="400" w:lineRule="exact"/>
              <w:ind w:firstLine="420" w:firstLineChars="200"/>
              <w:jc w:val="left"/>
              <w:rPr>
                <w:rFonts w:ascii="宋体" w:hAnsi="宋体"/>
                <w:szCs w:val="21"/>
              </w:rPr>
            </w:pPr>
            <w:r>
              <w:rPr>
                <w:rFonts w:hint="eastAsia" w:ascii="宋体" w:hAnsi="宋体"/>
                <w:szCs w:val="21"/>
              </w:rPr>
              <w:t>4.“投标函部分”、“商务部分”等小袋装入“投标文件”大袋中，密封并在大袋上加盖投标人单位公章，同时“投标文件”大袋应按本表第4.1.2项的规定写明相应内容。</w:t>
            </w:r>
          </w:p>
          <w:p>
            <w:pPr>
              <w:autoSpaceDE w:val="0"/>
              <w:autoSpaceDN w:val="0"/>
              <w:adjustRightInd w:val="0"/>
              <w:spacing w:line="400" w:lineRule="exact"/>
              <w:ind w:firstLine="420" w:firstLineChars="200"/>
              <w:jc w:val="left"/>
              <w:rPr>
                <w:rFonts w:ascii="宋体" w:hAnsi="宋体"/>
                <w:szCs w:val="21"/>
              </w:rPr>
            </w:pPr>
            <w:r>
              <w:rPr>
                <w:rFonts w:hint="eastAsia" w:ascii="宋体" w:hAnsi="宋体"/>
                <w:szCs w:val="21"/>
              </w:rPr>
              <w:t>5.“资格审查资料”单独封装，密封并加盖投标人单位公章，同时应按本表第4.1.2项的规定写明相应内容。</w:t>
            </w:r>
          </w:p>
          <w:p>
            <w:pPr>
              <w:autoSpaceDE w:val="0"/>
              <w:autoSpaceDN w:val="0"/>
              <w:adjustRightInd w:val="0"/>
              <w:spacing w:line="400" w:lineRule="exact"/>
              <w:ind w:firstLine="420" w:firstLineChars="200"/>
              <w:jc w:val="left"/>
              <w:rPr>
                <w:rFonts w:ascii="黑体" w:hAnsi="宋体" w:eastAsia="黑体"/>
                <w:szCs w:val="21"/>
              </w:rPr>
            </w:pPr>
            <w:r>
              <w:rPr>
                <w:rFonts w:hint="eastAsia" w:ascii="宋体" w:hAnsi="宋体"/>
                <w:szCs w:val="21"/>
              </w:rPr>
              <w:t>6.</w:t>
            </w:r>
            <w:r>
              <w:rPr>
                <w:rFonts w:hint="eastAsia" w:ascii="黑体" w:hAnsi="宋体" w:eastAsia="黑体"/>
                <w:b/>
                <w:szCs w:val="21"/>
              </w:rPr>
              <w:t>如果投标文件未按上述规定封装，比选人或比选代理机构应当当场退还其投标文件。</w:t>
            </w:r>
          </w:p>
          <w:p>
            <w:pPr>
              <w:autoSpaceDE w:val="0"/>
              <w:autoSpaceDN w:val="0"/>
              <w:adjustRightInd w:val="0"/>
              <w:spacing w:line="400" w:lineRule="exact"/>
              <w:ind w:firstLine="422" w:firstLineChars="200"/>
              <w:jc w:val="left"/>
              <w:rPr>
                <w:rFonts w:ascii="宋体" w:cs="仿宋"/>
                <w:szCs w:val="21"/>
              </w:rPr>
            </w:pPr>
            <w:r>
              <w:rPr>
                <w:rFonts w:hint="eastAsia" w:ascii="黑体" w:hAnsi="宋体" w:eastAsia="黑体"/>
                <w:b/>
                <w:szCs w:val="21"/>
              </w:rPr>
              <w:t>注：如投标文件较厚，上述各部分投标文件不能装入相应的一个袋中，投标人可按上述要求增加投标文件袋。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1278" w:type="dxa"/>
            <w:vAlign w:val="center"/>
          </w:tcPr>
          <w:p>
            <w:pPr>
              <w:snapToGrid w:val="0"/>
              <w:spacing w:line="300" w:lineRule="auto"/>
              <w:jc w:val="center"/>
              <w:rPr>
                <w:rFonts w:ascii="宋体" w:cs="仿宋"/>
                <w:kern w:val="0"/>
                <w:szCs w:val="21"/>
              </w:rPr>
            </w:pPr>
            <w:r>
              <w:rPr>
                <w:rFonts w:ascii="宋体" w:cs="仿宋"/>
                <w:kern w:val="0"/>
                <w:szCs w:val="21"/>
              </w:rPr>
              <w:t>4.1.2</w:t>
            </w:r>
          </w:p>
        </w:tc>
        <w:tc>
          <w:tcPr>
            <w:tcW w:w="1664" w:type="dxa"/>
            <w:vAlign w:val="center"/>
          </w:tcPr>
          <w:p>
            <w:pPr>
              <w:snapToGrid w:val="0"/>
              <w:spacing w:line="300" w:lineRule="auto"/>
              <w:jc w:val="center"/>
              <w:rPr>
                <w:rFonts w:ascii="宋体" w:cs="仿宋"/>
                <w:kern w:val="0"/>
                <w:szCs w:val="21"/>
              </w:rPr>
            </w:pPr>
            <w:r>
              <w:rPr>
                <w:rFonts w:hint="eastAsia" w:ascii="宋体" w:cs="仿宋"/>
                <w:kern w:val="0"/>
                <w:szCs w:val="21"/>
              </w:rPr>
              <w:t>封套上写明</w:t>
            </w:r>
          </w:p>
        </w:tc>
        <w:tc>
          <w:tcPr>
            <w:tcW w:w="6948" w:type="dxa"/>
            <w:gridSpan w:val="2"/>
            <w:vAlign w:val="center"/>
          </w:tcPr>
          <w:p>
            <w:pPr>
              <w:snapToGrid w:val="0"/>
              <w:spacing w:line="360" w:lineRule="auto"/>
              <w:ind w:firstLine="210" w:firstLineChars="100"/>
              <w:rPr>
                <w:rFonts w:ascii="宋体" w:cs="宋体"/>
                <w:kern w:val="0"/>
                <w:szCs w:val="21"/>
              </w:rPr>
            </w:pPr>
            <w:r>
              <w:rPr>
                <w:rFonts w:hint="eastAsia" w:ascii="宋体" w:hAnsi="宋体" w:cs="宋体"/>
                <w:kern w:val="0"/>
                <w:szCs w:val="21"/>
              </w:rPr>
              <w:t>应在“投标文件”大袋和“资格审查资料”封套上写明如下内容：</w:t>
            </w:r>
          </w:p>
          <w:p>
            <w:pPr>
              <w:snapToGrid w:val="0"/>
              <w:spacing w:line="360" w:lineRule="auto"/>
              <w:ind w:firstLine="210" w:firstLineChars="100"/>
              <w:rPr>
                <w:rFonts w:ascii="宋体" w:cs="宋体"/>
                <w:kern w:val="0"/>
                <w:szCs w:val="21"/>
                <w:u w:val="single"/>
              </w:rPr>
            </w:pPr>
            <w:r>
              <w:rPr>
                <w:rFonts w:hint="eastAsia" w:ascii="宋体" w:hAnsi="宋体" w:cs="宋体"/>
                <w:kern w:val="0"/>
                <w:szCs w:val="21"/>
              </w:rPr>
              <w:t>招标人的地址：</w:t>
            </w:r>
            <w:r>
              <w:rPr>
                <w:rFonts w:hint="eastAsia" w:ascii="宋体" w:hAnsi="宋体"/>
                <w:szCs w:val="21"/>
                <w:u w:val="single"/>
                <w:shd w:val="clear" w:color="auto" w:fill="FFFFFF"/>
              </w:rPr>
              <w:t>铜梁区龙安大道24号</w:t>
            </w:r>
            <w:r>
              <w:rPr>
                <w:rFonts w:ascii="宋体" w:hAnsi="宋体" w:cs="宋体"/>
                <w:kern w:val="0"/>
                <w:szCs w:val="21"/>
                <w:u w:val="single"/>
              </w:rPr>
              <w:t xml:space="preserve"> </w:t>
            </w:r>
          </w:p>
          <w:p>
            <w:pPr>
              <w:tabs>
                <w:tab w:val="left" w:pos="540"/>
                <w:tab w:val="left" w:pos="1080"/>
                <w:tab w:val="left" w:pos="1155"/>
              </w:tabs>
              <w:spacing w:line="360" w:lineRule="auto"/>
              <w:ind w:firstLine="210" w:firstLineChars="100"/>
              <w:rPr>
                <w:rFonts w:ascii="宋体" w:cs="仿宋"/>
                <w:snapToGrid w:val="0"/>
                <w:kern w:val="0"/>
                <w:szCs w:val="21"/>
              </w:rPr>
            </w:pPr>
            <w:r>
              <w:rPr>
                <w:rFonts w:hint="eastAsia" w:ascii="宋体" w:hAnsi="宋体" w:cs="宋体"/>
                <w:kern w:val="0"/>
                <w:szCs w:val="21"/>
              </w:rPr>
              <w:t>招标人名称：</w:t>
            </w:r>
            <w:r>
              <w:rPr>
                <w:rFonts w:hint="eastAsia" w:ascii="宋体" w:cs="仿宋"/>
                <w:snapToGrid w:val="0"/>
                <w:kern w:val="0"/>
                <w:szCs w:val="21"/>
                <w:u w:val="single"/>
              </w:rPr>
              <w:t>重庆铜梁高新技术产业开发区管委会</w:t>
            </w:r>
          </w:p>
          <w:p>
            <w:pPr>
              <w:tabs>
                <w:tab w:val="left" w:pos="540"/>
                <w:tab w:val="left" w:pos="1080"/>
                <w:tab w:val="left" w:pos="1155"/>
              </w:tabs>
              <w:spacing w:line="360" w:lineRule="auto"/>
              <w:ind w:firstLine="210" w:firstLineChars="100"/>
              <w:rPr>
                <w:rFonts w:ascii="宋体" w:cs="仿宋"/>
                <w:snapToGrid w:val="0"/>
                <w:kern w:val="0"/>
                <w:szCs w:val="21"/>
                <w:u w:val="single"/>
              </w:rPr>
            </w:pPr>
            <w:r>
              <w:rPr>
                <w:rFonts w:hint="eastAsia" w:ascii="宋体" w:hAnsi="宋体" w:cs="宋体"/>
                <w:u w:val="single"/>
                <w:lang w:val="zh-CN"/>
              </w:rPr>
              <w:t>工人新村新建停车场工程</w:t>
            </w:r>
            <w:r>
              <w:rPr>
                <w:rFonts w:hint="eastAsia" w:ascii="宋体" w:hAnsi="宋体" w:cs="宋体"/>
              </w:rPr>
              <w:t>投标文件</w:t>
            </w:r>
          </w:p>
          <w:p>
            <w:pPr>
              <w:snapToGrid w:val="0"/>
              <w:spacing w:line="360" w:lineRule="auto"/>
              <w:ind w:firstLine="210" w:firstLineChars="100"/>
              <w:rPr>
                <w:rFonts w:ascii="宋体" w:cs="宋体"/>
                <w:szCs w:val="21"/>
              </w:rPr>
            </w:pPr>
            <w:r>
              <w:rPr>
                <w:rFonts w:hint="eastAsia" w:ascii="宋体" w:hAnsi="宋体" w:cs="宋体"/>
                <w:kern w:val="0"/>
                <w:szCs w:val="21"/>
              </w:rPr>
              <w:t>在</w:t>
            </w:r>
            <w:r>
              <w:rPr>
                <w:rFonts w:hint="eastAsia" w:ascii="宋体" w:hAnsi="宋体" w:cs="宋体"/>
                <w:b/>
                <w:bCs/>
                <w:u w:val="single"/>
              </w:rPr>
              <w:t xml:space="preserve">   </w:t>
            </w:r>
            <w:r>
              <w:rPr>
                <w:rFonts w:hint="eastAsia" w:ascii="宋体" w:hAnsi="宋体" w:cs="宋体"/>
              </w:rPr>
              <w:t>年</w:t>
            </w:r>
            <w:r>
              <w:rPr>
                <w:rFonts w:hint="eastAsia" w:ascii="宋体" w:hAnsi="宋体" w:cs="宋体"/>
                <w:b/>
                <w:bCs/>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w:t>
            </w:r>
            <w:r>
              <w:rPr>
                <w:rFonts w:hint="eastAsia" w:ascii="宋体" w:hAnsi="宋体" w:cs="宋体"/>
              </w:rPr>
              <w:t>分</w:t>
            </w:r>
            <w:r>
              <w:rPr>
                <w:rFonts w:hint="eastAsia" w:ascii="宋体" w:hAnsi="宋体" w:cs="宋体"/>
                <w:kern w:val="0"/>
                <w:szCs w:val="21"/>
              </w:rPr>
              <w:t>（规定的开标时间）前不得开启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278" w:type="dxa"/>
            <w:vAlign w:val="center"/>
          </w:tcPr>
          <w:p>
            <w:pPr>
              <w:snapToGrid w:val="0"/>
              <w:spacing w:line="300" w:lineRule="auto"/>
              <w:jc w:val="center"/>
              <w:rPr>
                <w:rFonts w:ascii="宋体" w:cs="仿宋"/>
                <w:kern w:val="0"/>
                <w:szCs w:val="21"/>
              </w:rPr>
            </w:pPr>
            <w:r>
              <w:rPr>
                <w:rFonts w:ascii="宋体" w:cs="仿宋"/>
                <w:kern w:val="0"/>
                <w:szCs w:val="21"/>
              </w:rPr>
              <w:t>4.2.2</w:t>
            </w:r>
          </w:p>
        </w:tc>
        <w:tc>
          <w:tcPr>
            <w:tcW w:w="1664"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递交投标文件地点</w:t>
            </w:r>
          </w:p>
        </w:tc>
        <w:tc>
          <w:tcPr>
            <w:tcW w:w="6948" w:type="dxa"/>
            <w:gridSpan w:val="2"/>
            <w:vAlign w:val="center"/>
          </w:tcPr>
          <w:p>
            <w:pPr>
              <w:tabs>
                <w:tab w:val="left" w:pos="540"/>
                <w:tab w:val="left" w:pos="1080"/>
                <w:tab w:val="left" w:pos="1155"/>
              </w:tabs>
              <w:spacing w:line="400" w:lineRule="exact"/>
              <w:ind w:firstLine="210" w:firstLineChars="100"/>
              <w:rPr>
                <w:rFonts w:ascii="宋体" w:cs="仿宋"/>
                <w:kern w:val="0"/>
                <w:szCs w:val="21"/>
              </w:rPr>
            </w:pPr>
            <w:r>
              <w:rPr>
                <w:rFonts w:hint="eastAsia" w:ascii="宋体" w:cs="仿宋"/>
                <w:kern w:val="0"/>
                <w:szCs w:val="21"/>
              </w:rPr>
              <w:t>重庆铜梁高新技术产业开发区管委会702会议室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278" w:type="dxa"/>
            <w:vAlign w:val="center"/>
          </w:tcPr>
          <w:p>
            <w:pPr>
              <w:snapToGrid w:val="0"/>
              <w:spacing w:line="400" w:lineRule="exact"/>
              <w:jc w:val="center"/>
              <w:rPr>
                <w:rFonts w:ascii="宋体" w:cs="仿宋"/>
                <w:kern w:val="0"/>
                <w:szCs w:val="21"/>
              </w:rPr>
            </w:pPr>
            <w:r>
              <w:rPr>
                <w:rFonts w:hint="eastAsia" w:ascii="宋体" w:hAnsi="宋体" w:cs="宋体"/>
                <w:kern w:val="0"/>
                <w:szCs w:val="21"/>
              </w:rPr>
              <w:t>4.2.3</w:t>
            </w:r>
          </w:p>
        </w:tc>
        <w:tc>
          <w:tcPr>
            <w:tcW w:w="1664"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是否退还投标文件</w:t>
            </w:r>
          </w:p>
        </w:tc>
        <w:tc>
          <w:tcPr>
            <w:tcW w:w="6948" w:type="dxa"/>
            <w:gridSpan w:val="2"/>
            <w:vAlign w:val="center"/>
          </w:tcPr>
          <w:p>
            <w:pPr>
              <w:tabs>
                <w:tab w:val="left" w:pos="540"/>
                <w:tab w:val="left" w:pos="1080"/>
                <w:tab w:val="left" w:pos="1155"/>
              </w:tabs>
              <w:spacing w:line="400" w:lineRule="exact"/>
              <w:ind w:firstLine="210" w:firstLineChars="100"/>
              <w:rPr>
                <w:rFonts w:ascii="宋体" w:cs="仿宋"/>
                <w:kern w:val="0"/>
                <w:szCs w:val="21"/>
              </w:rPr>
            </w:pPr>
            <w:r>
              <w:rPr>
                <w:rFonts w:hint="eastAsia" w:ascii="宋体" w:cs="仿宋"/>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278" w:type="dxa"/>
            <w:vAlign w:val="center"/>
          </w:tcPr>
          <w:p>
            <w:pPr>
              <w:snapToGrid w:val="0"/>
              <w:spacing w:line="360" w:lineRule="auto"/>
              <w:jc w:val="center"/>
              <w:rPr>
                <w:rFonts w:ascii="宋体" w:cs="仿宋"/>
                <w:kern w:val="0"/>
                <w:szCs w:val="21"/>
              </w:rPr>
            </w:pPr>
            <w:r>
              <w:rPr>
                <w:rFonts w:ascii="宋体" w:cs="仿宋"/>
                <w:kern w:val="0"/>
                <w:szCs w:val="21"/>
              </w:rPr>
              <w:t>5.1</w:t>
            </w:r>
          </w:p>
        </w:tc>
        <w:tc>
          <w:tcPr>
            <w:tcW w:w="1664"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开标时间</w:t>
            </w:r>
          </w:p>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和地点</w:t>
            </w:r>
          </w:p>
        </w:tc>
        <w:tc>
          <w:tcPr>
            <w:tcW w:w="6948" w:type="dxa"/>
            <w:gridSpan w:val="2"/>
            <w:vAlign w:val="bottom"/>
          </w:tcPr>
          <w:p>
            <w:pPr>
              <w:tabs>
                <w:tab w:val="left" w:pos="540"/>
                <w:tab w:val="left" w:pos="1080"/>
                <w:tab w:val="left" w:pos="1155"/>
              </w:tabs>
              <w:spacing w:line="400" w:lineRule="exact"/>
              <w:ind w:firstLine="210" w:firstLineChars="100"/>
              <w:rPr>
                <w:rFonts w:ascii="宋体" w:cs="仿宋"/>
                <w:kern w:val="0"/>
                <w:szCs w:val="21"/>
              </w:rPr>
            </w:pPr>
            <w:r>
              <w:rPr>
                <w:rFonts w:hint="eastAsia" w:ascii="宋体" w:cs="仿宋"/>
                <w:kern w:val="0"/>
                <w:szCs w:val="21"/>
              </w:rPr>
              <w:t>开标时间：</w:t>
            </w:r>
            <w:r>
              <w:rPr>
                <w:rFonts w:hint="eastAsia" w:ascii="宋体" w:cs="仿宋"/>
                <w:b/>
                <w:bCs/>
                <w:kern w:val="0"/>
                <w:szCs w:val="21"/>
                <w:u w:val="single"/>
              </w:rPr>
              <w:t>2021</w:t>
            </w:r>
            <w:r>
              <w:rPr>
                <w:rFonts w:hint="eastAsia" w:ascii="宋体" w:cs="仿宋"/>
                <w:b/>
                <w:bCs/>
                <w:kern w:val="0"/>
                <w:szCs w:val="21"/>
              </w:rPr>
              <w:t>年</w:t>
            </w:r>
            <w:r>
              <w:rPr>
                <w:rFonts w:hint="eastAsia" w:ascii="宋体" w:cs="仿宋"/>
                <w:b/>
                <w:bCs/>
                <w:kern w:val="0"/>
                <w:szCs w:val="21"/>
                <w:u w:val="single"/>
                <w:lang w:val="en-US" w:eastAsia="zh-CN"/>
              </w:rPr>
              <w:t>4</w:t>
            </w:r>
            <w:r>
              <w:rPr>
                <w:rFonts w:hint="eastAsia" w:ascii="宋体" w:cs="仿宋"/>
                <w:b/>
                <w:bCs/>
                <w:kern w:val="0"/>
                <w:szCs w:val="21"/>
              </w:rPr>
              <w:t>月</w:t>
            </w:r>
            <w:r>
              <w:rPr>
                <w:rFonts w:hint="eastAsia" w:ascii="宋体" w:cs="仿宋"/>
                <w:b/>
                <w:bCs/>
                <w:kern w:val="0"/>
                <w:szCs w:val="21"/>
                <w:u w:val="single"/>
                <w:lang w:val="en-US" w:eastAsia="zh-CN"/>
              </w:rPr>
              <w:t>29</w:t>
            </w:r>
            <w:r>
              <w:rPr>
                <w:rFonts w:hint="eastAsia" w:ascii="宋体" w:cs="仿宋"/>
                <w:b/>
                <w:bCs/>
                <w:kern w:val="0"/>
                <w:szCs w:val="21"/>
              </w:rPr>
              <w:t>日</w:t>
            </w:r>
            <w:r>
              <w:rPr>
                <w:rFonts w:hint="eastAsia" w:ascii="宋体" w:cs="仿宋"/>
                <w:b/>
                <w:bCs/>
                <w:kern w:val="0"/>
                <w:szCs w:val="21"/>
                <w:u w:val="single"/>
              </w:rPr>
              <w:t xml:space="preserve"> 9 </w:t>
            </w:r>
            <w:r>
              <w:rPr>
                <w:rFonts w:hint="eastAsia" w:ascii="宋体" w:cs="仿宋"/>
                <w:b/>
                <w:bCs/>
                <w:kern w:val="0"/>
                <w:szCs w:val="21"/>
              </w:rPr>
              <w:t>时</w:t>
            </w:r>
            <w:r>
              <w:rPr>
                <w:rFonts w:hint="eastAsia" w:ascii="宋体" w:cs="仿宋"/>
                <w:b/>
                <w:bCs/>
                <w:kern w:val="0"/>
                <w:szCs w:val="21"/>
                <w:u w:val="single"/>
              </w:rPr>
              <w:t xml:space="preserve">30 </w:t>
            </w:r>
            <w:r>
              <w:rPr>
                <w:rFonts w:hint="eastAsia" w:ascii="宋体" w:cs="仿宋"/>
                <w:b/>
                <w:bCs/>
                <w:kern w:val="0"/>
                <w:szCs w:val="21"/>
              </w:rPr>
              <w:t>分</w:t>
            </w:r>
            <w:r>
              <w:rPr>
                <w:rFonts w:hint="eastAsia" w:ascii="宋体" w:cs="仿宋"/>
                <w:kern w:val="0"/>
                <w:szCs w:val="21"/>
              </w:rPr>
              <w:t>（北京时间）</w:t>
            </w:r>
          </w:p>
          <w:p>
            <w:pPr>
              <w:tabs>
                <w:tab w:val="left" w:pos="540"/>
                <w:tab w:val="left" w:pos="1080"/>
                <w:tab w:val="left" w:pos="1155"/>
              </w:tabs>
              <w:spacing w:line="400" w:lineRule="exact"/>
              <w:ind w:firstLine="210" w:firstLineChars="100"/>
              <w:rPr>
                <w:rFonts w:ascii="宋体" w:cs="仿宋"/>
                <w:kern w:val="0"/>
                <w:szCs w:val="21"/>
              </w:rPr>
            </w:pPr>
            <w:r>
              <w:rPr>
                <w:rFonts w:hint="eastAsia" w:ascii="宋体" w:cs="仿宋"/>
                <w:kern w:val="0"/>
                <w:szCs w:val="21"/>
              </w:rPr>
              <w:t>开标地点：重庆铜梁高新技术产业开发区管委会702会议室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278" w:type="dxa"/>
            <w:vAlign w:val="center"/>
          </w:tcPr>
          <w:p>
            <w:pPr>
              <w:snapToGrid w:val="0"/>
              <w:spacing w:line="360" w:lineRule="auto"/>
              <w:jc w:val="center"/>
              <w:rPr>
                <w:rFonts w:ascii="宋体" w:cs="仿宋"/>
                <w:szCs w:val="21"/>
              </w:rPr>
            </w:pPr>
            <w:r>
              <w:rPr>
                <w:rFonts w:ascii="宋体" w:cs="仿宋"/>
                <w:kern w:val="0"/>
                <w:szCs w:val="21"/>
              </w:rPr>
              <w:t>5.2</w:t>
            </w:r>
          </w:p>
        </w:tc>
        <w:tc>
          <w:tcPr>
            <w:tcW w:w="1664" w:type="dxa"/>
            <w:vAlign w:val="center"/>
          </w:tcPr>
          <w:p>
            <w:pPr>
              <w:snapToGrid w:val="0"/>
              <w:spacing w:line="360" w:lineRule="auto"/>
              <w:jc w:val="center"/>
              <w:rPr>
                <w:rFonts w:ascii="宋体" w:cs="仿宋"/>
                <w:szCs w:val="21"/>
              </w:rPr>
            </w:pPr>
            <w:r>
              <w:rPr>
                <w:rFonts w:hint="eastAsia" w:ascii="宋体" w:cs="仿宋"/>
                <w:kern w:val="0"/>
                <w:szCs w:val="21"/>
              </w:rPr>
              <w:t>开标程序</w:t>
            </w:r>
          </w:p>
        </w:tc>
        <w:tc>
          <w:tcPr>
            <w:tcW w:w="6948" w:type="dxa"/>
            <w:gridSpan w:val="2"/>
            <w:vAlign w:val="center"/>
          </w:tcPr>
          <w:p>
            <w:pPr>
              <w:adjustRightInd w:val="0"/>
              <w:snapToGrid w:val="0"/>
              <w:spacing w:line="400" w:lineRule="exact"/>
              <w:ind w:firstLine="210" w:firstLineChars="100"/>
              <w:rPr>
                <w:rFonts w:ascii="宋体" w:hAnsi="宋体" w:cs="宋体"/>
              </w:rPr>
            </w:pPr>
            <w:r>
              <w:rPr>
                <w:rFonts w:hint="eastAsia" w:ascii="宋体" w:hAnsi="宋体" w:cs="宋体"/>
              </w:rPr>
              <w:t>主持人按下列程序进行开标：</w:t>
            </w:r>
          </w:p>
          <w:p>
            <w:pPr>
              <w:adjustRightInd w:val="0"/>
              <w:snapToGrid w:val="0"/>
              <w:spacing w:line="400" w:lineRule="exact"/>
              <w:ind w:firstLine="210" w:firstLineChars="100"/>
              <w:rPr>
                <w:rFonts w:ascii="宋体" w:hAnsi="宋体" w:cs="宋体"/>
              </w:rPr>
            </w:pPr>
            <w:r>
              <w:rPr>
                <w:rFonts w:hint="eastAsia" w:ascii="宋体" w:hAnsi="宋体" w:cs="宋体"/>
              </w:rPr>
              <w:t>1. 宣布开标纪律；</w:t>
            </w:r>
          </w:p>
          <w:p>
            <w:pPr>
              <w:adjustRightInd w:val="0"/>
              <w:snapToGrid w:val="0"/>
              <w:spacing w:line="400" w:lineRule="exact"/>
              <w:ind w:firstLine="210" w:firstLineChars="100"/>
              <w:rPr>
                <w:rFonts w:ascii="宋体" w:hAnsi="宋体" w:cs="宋体"/>
              </w:rPr>
            </w:pPr>
            <w:r>
              <w:rPr>
                <w:rFonts w:hint="eastAsia" w:ascii="宋体" w:hAnsi="宋体" w:cs="宋体"/>
              </w:rPr>
              <w:t>2. 宣布开标人、唱标人、记录人、监标人等有关人员姓名；</w:t>
            </w:r>
          </w:p>
          <w:p>
            <w:pPr>
              <w:adjustRightInd w:val="0"/>
              <w:snapToGrid w:val="0"/>
              <w:spacing w:line="400" w:lineRule="exact"/>
              <w:ind w:firstLine="210" w:firstLineChars="100"/>
              <w:rPr>
                <w:rFonts w:ascii="宋体" w:hAnsi="宋体" w:cs="宋体"/>
              </w:rPr>
            </w:pPr>
            <w:r>
              <w:rPr>
                <w:rFonts w:hint="eastAsia" w:ascii="宋体" w:hAnsi="宋体" w:cs="宋体"/>
              </w:rPr>
              <w:t>3. 公布在投标截止时间前递交投标文件的投标人名称，并点名确认投标人是否派人到场；</w:t>
            </w:r>
          </w:p>
          <w:p>
            <w:pPr>
              <w:adjustRightInd w:val="0"/>
              <w:snapToGrid w:val="0"/>
              <w:spacing w:line="400" w:lineRule="exact"/>
              <w:ind w:firstLine="210" w:firstLineChars="100"/>
              <w:rPr>
                <w:rFonts w:ascii="宋体" w:hAnsi="宋体" w:cs="宋体"/>
              </w:rPr>
            </w:pPr>
            <w:r>
              <w:rPr>
                <w:rFonts w:hint="eastAsia" w:ascii="宋体" w:hAnsi="宋体" w:cs="宋体"/>
              </w:rPr>
              <w:t>4. 核验参加开标会议的投标人的身份</w:t>
            </w:r>
          </w:p>
          <w:p>
            <w:pPr>
              <w:adjustRightInd w:val="0"/>
              <w:snapToGrid w:val="0"/>
              <w:spacing w:line="400" w:lineRule="exact"/>
              <w:ind w:firstLine="210" w:firstLineChars="100"/>
              <w:rPr>
                <w:rFonts w:ascii="宋体" w:hAnsi="宋体" w:cs="宋体"/>
              </w:rPr>
            </w:pPr>
            <w:r>
              <w:rPr>
                <w:rFonts w:hint="eastAsia" w:ascii="宋体" w:hAnsi="宋体" w:cs="宋体"/>
              </w:rPr>
              <w:t>授权委托代理人参加开标会的，应当随身携带本人身份证（原件）和授权委托书原件，任缺一项或身份核验不合格，则不准予参加开标会，并当场退还其投标文件。</w:t>
            </w:r>
          </w:p>
          <w:p>
            <w:pPr>
              <w:snapToGrid w:val="0"/>
              <w:spacing w:line="360" w:lineRule="exact"/>
              <w:ind w:firstLine="210" w:firstLineChars="100"/>
              <w:rPr>
                <w:rFonts w:ascii="宋体" w:hAnsi="宋体"/>
                <w:szCs w:val="21"/>
              </w:rPr>
            </w:pPr>
            <w:r>
              <w:rPr>
                <w:rFonts w:hint="eastAsia" w:ascii="宋体" w:hAnsi="宋体" w:cs="宋体"/>
              </w:rPr>
              <w:t>5.</w:t>
            </w:r>
            <w:r>
              <w:rPr>
                <w:rFonts w:hint="eastAsia" w:ascii="宋体" w:hAnsi="宋体"/>
                <w:szCs w:val="21"/>
              </w:rPr>
              <w:t xml:space="preserve"> 汇总投标保证金缴纳情况</w:t>
            </w:r>
          </w:p>
          <w:p>
            <w:pPr>
              <w:snapToGrid w:val="0"/>
              <w:spacing w:line="360" w:lineRule="exact"/>
              <w:ind w:firstLine="210" w:firstLineChars="100"/>
              <w:rPr>
                <w:rFonts w:ascii="宋体" w:hAnsi="宋体"/>
                <w:szCs w:val="21"/>
              </w:rPr>
            </w:pPr>
            <w:r>
              <w:rPr>
                <w:rFonts w:hint="eastAsia" w:ascii="宋体" w:hAnsi="宋体"/>
                <w:szCs w:val="21"/>
                <w:lang w:val="en-US" w:eastAsia="zh-CN"/>
              </w:rPr>
              <w:t>5</w:t>
            </w:r>
            <w:r>
              <w:rPr>
                <w:rFonts w:hint="eastAsia" w:ascii="宋体" w:hAnsi="宋体"/>
                <w:szCs w:val="21"/>
              </w:rPr>
              <w:t>.1 投标保证金采用投标保函形式的：</w:t>
            </w:r>
          </w:p>
          <w:p>
            <w:pPr>
              <w:snapToGrid w:val="0"/>
              <w:spacing w:line="360" w:lineRule="exact"/>
              <w:ind w:firstLine="420" w:firstLineChars="200"/>
              <w:rPr>
                <w:rFonts w:ascii="宋体" w:hAnsi="宋体"/>
                <w:szCs w:val="21"/>
              </w:rPr>
            </w:pPr>
            <w:r>
              <w:rPr>
                <w:rFonts w:ascii="宋体" w:hAnsi="宋体"/>
                <w:szCs w:val="21"/>
              </w:rPr>
              <w:t>开启投标保函部分袋，</w:t>
            </w:r>
            <w:r>
              <w:rPr>
                <w:rFonts w:hint="eastAsia" w:ascii="宋体" w:hAnsi="宋体"/>
                <w:szCs w:val="21"/>
              </w:rPr>
              <w:t>现场展示投标保函，</w:t>
            </w:r>
            <w:r>
              <w:rPr>
                <w:rFonts w:ascii="宋体" w:hAnsi="宋体"/>
                <w:szCs w:val="21"/>
              </w:rPr>
              <w:t>核实是否提交投标保函正本</w:t>
            </w:r>
            <w:r>
              <w:rPr>
                <w:rFonts w:hint="eastAsia" w:ascii="宋体" w:hAnsi="宋体"/>
                <w:szCs w:val="21"/>
              </w:rPr>
              <w:t>复印件</w:t>
            </w:r>
            <w:r>
              <w:rPr>
                <w:rFonts w:ascii="宋体" w:hAnsi="宋体"/>
                <w:szCs w:val="21"/>
              </w:rPr>
              <w:t>，若无则</w:t>
            </w:r>
            <w:r>
              <w:rPr>
                <w:rFonts w:hint="eastAsia" w:ascii="宋体" w:hAnsi="宋体"/>
                <w:szCs w:val="21"/>
              </w:rPr>
              <w:t>在</w:t>
            </w:r>
            <w:r>
              <w:rPr>
                <w:rFonts w:ascii="宋体" w:hAnsi="宋体"/>
                <w:szCs w:val="21"/>
              </w:rPr>
              <w:t>开标记录表上记录并交由评标委员会作否决投标处理；投标保函的其他问题交由评标委员会按照3.4中相关规定予以评审</w:t>
            </w:r>
            <w:r>
              <w:rPr>
                <w:rFonts w:hint="eastAsia" w:ascii="宋体" w:hAnsi="宋体"/>
                <w:szCs w:val="21"/>
              </w:rPr>
              <w:t>。</w:t>
            </w:r>
          </w:p>
          <w:p>
            <w:pPr>
              <w:snapToGrid w:val="0"/>
              <w:spacing w:line="360" w:lineRule="exact"/>
              <w:ind w:firstLine="210" w:firstLineChars="100"/>
              <w:rPr>
                <w:rFonts w:ascii="宋体" w:hAnsi="宋体"/>
                <w:szCs w:val="21"/>
              </w:rPr>
            </w:pPr>
            <w:r>
              <w:rPr>
                <w:rFonts w:hint="eastAsia" w:ascii="宋体" w:hAnsi="宋体"/>
                <w:szCs w:val="21"/>
                <w:lang w:val="en-US" w:eastAsia="zh-CN"/>
              </w:rPr>
              <w:t>5</w:t>
            </w:r>
            <w:r>
              <w:rPr>
                <w:rFonts w:hint="eastAsia" w:ascii="宋体" w:hAnsi="宋体"/>
                <w:szCs w:val="21"/>
              </w:rPr>
              <w:t>.2 投标保证金采用现金转账形式的：</w:t>
            </w:r>
          </w:p>
          <w:p>
            <w:pPr>
              <w:snapToGrid w:val="0"/>
              <w:spacing w:line="360" w:lineRule="exact"/>
              <w:ind w:firstLine="420" w:firstLineChars="200"/>
              <w:rPr>
                <w:rFonts w:ascii="宋体" w:hAnsi="宋体"/>
                <w:szCs w:val="21"/>
              </w:rPr>
            </w:pPr>
            <w:r>
              <w:rPr>
                <w:rFonts w:hint="eastAsia" w:ascii="宋体" w:hAnsi="宋体"/>
                <w:szCs w:val="21"/>
              </w:rPr>
              <w:t>展示投标保证金缴纳情况，未在规定时间将投标保证金打入指定账户的，在开标记录表上记录并交由评标委员会作否决投标处理；保证金来款账户非基本账户的，交由评标委员会作否决投标处理；未进行基本账户登记的，投标人须在开标会现场提交企业基本账户开户证明文件复印件供评标委员会核验。</w:t>
            </w:r>
          </w:p>
          <w:p>
            <w:pPr>
              <w:snapToGrid w:val="0"/>
              <w:spacing w:line="360" w:lineRule="exact"/>
              <w:ind w:firstLine="210" w:firstLineChars="100"/>
              <w:rPr>
                <w:rFonts w:ascii="宋体" w:hAnsi="宋体"/>
                <w:szCs w:val="21"/>
              </w:rPr>
            </w:pPr>
            <w:r>
              <w:rPr>
                <w:rFonts w:hint="eastAsia" w:ascii="宋体" w:hAnsi="宋体"/>
                <w:szCs w:val="21"/>
                <w:lang w:val="en-US" w:eastAsia="zh-CN"/>
              </w:rPr>
              <w:t>5</w:t>
            </w:r>
            <w:r>
              <w:rPr>
                <w:rFonts w:hint="eastAsia" w:ascii="宋体" w:hAnsi="宋体"/>
                <w:szCs w:val="21"/>
              </w:rPr>
              <w:t>.3 汇总所有投标人投标保证金缴纳情况。</w:t>
            </w:r>
          </w:p>
          <w:p>
            <w:pPr>
              <w:adjustRightInd w:val="0"/>
              <w:snapToGrid w:val="0"/>
              <w:spacing w:line="400" w:lineRule="exact"/>
              <w:ind w:firstLine="210" w:firstLineChars="100"/>
              <w:rPr>
                <w:rFonts w:ascii="宋体" w:hAnsi="宋体" w:cs="宋体"/>
              </w:rPr>
            </w:pPr>
            <w:r>
              <w:rPr>
                <w:rFonts w:hint="eastAsia" w:ascii="宋体" w:hAnsi="宋体" w:cs="宋体"/>
              </w:rPr>
              <w:t>6. 密封情况检查：投标人或者其推选的投标人代表检查投标文件的密封情况并确认。</w:t>
            </w:r>
          </w:p>
          <w:p>
            <w:pPr>
              <w:adjustRightInd w:val="0"/>
              <w:snapToGrid w:val="0"/>
              <w:spacing w:line="400" w:lineRule="exact"/>
              <w:ind w:firstLine="210" w:firstLineChars="100"/>
              <w:rPr>
                <w:rFonts w:ascii="宋体" w:hAnsi="宋体" w:cs="宋体"/>
              </w:rPr>
            </w:pPr>
            <w:r>
              <w:rPr>
                <w:rFonts w:hint="eastAsia" w:ascii="宋体" w:hAnsi="宋体" w:cs="宋体"/>
              </w:rPr>
              <w:t>7. 公布最高限价；</w:t>
            </w:r>
          </w:p>
          <w:p>
            <w:pPr>
              <w:adjustRightInd w:val="0"/>
              <w:snapToGrid w:val="0"/>
              <w:spacing w:line="400" w:lineRule="exact"/>
              <w:ind w:firstLine="210" w:firstLineChars="100"/>
              <w:rPr>
                <w:rFonts w:ascii="宋体" w:hAnsi="宋体" w:cs="宋体"/>
              </w:rPr>
            </w:pPr>
            <w:r>
              <w:rPr>
                <w:rFonts w:hint="eastAsia" w:ascii="宋体" w:hAnsi="宋体" w:cs="宋体"/>
              </w:rPr>
              <w:t>8. 开启投标文件顺序：随机开启；</w:t>
            </w:r>
          </w:p>
          <w:p>
            <w:pPr>
              <w:adjustRightInd w:val="0"/>
              <w:snapToGrid w:val="0"/>
              <w:spacing w:line="400" w:lineRule="exact"/>
              <w:ind w:firstLine="210" w:firstLineChars="100"/>
              <w:rPr>
                <w:rFonts w:ascii="宋体" w:hAnsi="宋体" w:cs="宋体"/>
              </w:rPr>
            </w:pPr>
            <w:r>
              <w:rPr>
                <w:rFonts w:hint="eastAsia" w:ascii="宋体" w:hAnsi="宋体" w:cs="宋体"/>
              </w:rPr>
              <w:t>9. 按照宣布的开标顺序当众开标，开启投标文件大袋（投标函部分、商务部分、资格审查资料），并公布投标人名称、投标报价、质量目标、工期及其他内容，并记录在案。</w:t>
            </w:r>
          </w:p>
          <w:p>
            <w:pPr>
              <w:adjustRightInd w:val="0"/>
              <w:snapToGrid w:val="0"/>
              <w:spacing w:line="400" w:lineRule="exact"/>
              <w:ind w:firstLine="210" w:firstLineChars="100"/>
              <w:rPr>
                <w:rFonts w:ascii="宋体" w:hAnsi="宋体" w:cs="宋体"/>
              </w:rPr>
            </w:pPr>
            <w:r>
              <w:rPr>
                <w:rFonts w:hint="eastAsia" w:ascii="宋体" w:hAnsi="宋体" w:cs="宋体"/>
              </w:rPr>
              <w:t>10. 投标人代表、招标人代表、监标人、记录人等有关人员在开标记录上签字确认；</w:t>
            </w:r>
          </w:p>
          <w:p>
            <w:pPr>
              <w:adjustRightInd w:val="0"/>
              <w:snapToGrid w:val="0"/>
              <w:spacing w:line="400" w:lineRule="exact"/>
              <w:ind w:firstLine="210" w:firstLineChars="100"/>
              <w:rPr>
                <w:kern w:val="0"/>
                <w:szCs w:val="21"/>
              </w:rPr>
            </w:pPr>
            <w:r>
              <w:rPr>
                <w:rFonts w:hint="eastAsia" w:ascii="宋体" w:hAnsi="宋体" w:cs="宋体"/>
              </w:rPr>
              <w:t>11. 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278" w:type="dxa"/>
            <w:vAlign w:val="center"/>
          </w:tcPr>
          <w:p>
            <w:pPr>
              <w:snapToGrid w:val="0"/>
              <w:spacing w:line="360" w:lineRule="auto"/>
              <w:jc w:val="center"/>
              <w:rPr>
                <w:rFonts w:ascii="宋体" w:cs="仿宋"/>
                <w:kern w:val="0"/>
                <w:szCs w:val="21"/>
              </w:rPr>
            </w:pPr>
            <w:r>
              <w:rPr>
                <w:rFonts w:ascii="宋体" w:cs="仿宋"/>
                <w:kern w:val="0"/>
                <w:szCs w:val="21"/>
              </w:rPr>
              <w:t>6.1.1</w:t>
            </w:r>
          </w:p>
        </w:tc>
        <w:tc>
          <w:tcPr>
            <w:tcW w:w="1664" w:type="dxa"/>
            <w:vAlign w:val="center"/>
          </w:tcPr>
          <w:p>
            <w:pPr>
              <w:adjustRightInd w:val="0"/>
              <w:snapToGrid w:val="0"/>
              <w:spacing w:line="300" w:lineRule="exact"/>
              <w:jc w:val="center"/>
              <w:rPr>
                <w:rFonts w:ascii="宋体" w:hAnsi="宋体" w:cs="宋体"/>
              </w:rPr>
            </w:pPr>
            <w:r>
              <w:rPr>
                <w:rFonts w:hint="eastAsia" w:ascii="宋体" w:hAnsi="宋体" w:cs="宋体"/>
              </w:rPr>
              <w:t>评标委员会的组建</w:t>
            </w:r>
          </w:p>
        </w:tc>
        <w:tc>
          <w:tcPr>
            <w:tcW w:w="6948" w:type="dxa"/>
            <w:gridSpan w:val="2"/>
            <w:vAlign w:val="center"/>
          </w:tcPr>
          <w:p>
            <w:pPr>
              <w:adjustRightInd w:val="0"/>
              <w:snapToGrid w:val="0"/>
              <w:spacing w:line="300" w:lineRule="exact"/>
              <w:ind w:firstLine="210" w:firstLineChars="100"/>
              <w:rPr>
                <w:rFonts w:ascii="宋体" w:hAnsi="宋体" w:cs="宋体"/>
              </w:rPr>
            </w:pPr>
            <w:r>
              <w:rPr>
                <w:rFonts w:hint="eastAsia" w:ascii="宋体" w:hAnsi="宋体" w:cs="宋体"/>
              </w:rPr>
              <w:t>评标委员会构成：</w:t>
            </w:r>
            <w:r>
              <w:rPr>
                <w:rFonts w:hint="eastAsia" w:ascii="宋体" w:hAnsi="宋体" w:cs="宋体"/>
                <w:u w:val="single"/>
              </w:rPr>
              <w:t xml:space="preserve">　3 </w:t>
            </w:r>
            <w:r>
              <w:rPr>
                <w:rFonts w:hint="eastAsia" w:ascii="宋体" w:hAnsi="宋体" w:cs="宋体"/>
              </w:rPr>
              <w:t>人，由比选人自行依法组建。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78" w:type="dxa"/>
            <w:vAlign w:val="center"/>
          </w:tcPr>
          <w:p>
            <w:pPr>
              <w:snapToGrid w:val="0"/>
              <w:spacing w:line="360" w:lineRule="auto"/>
              <w:jc w:val="center"/>
              <w:rPr>
                <w:rFonts w:ascii="宋体" w:cs="仿宋"/>
                <w:kern w:val="0"/>
                <w:szCs w:val="21"/>
              </w:rPr>
            </w:pPr>
            <w:r>
              <w:rPr>
                <w:rFonts w:ascii="宋体" w:cs="仿宋"/>
                <w:kern w:val="0"/>
                <w:szCs w:val="21"/>
              </w:rPr>
              <w:t>7.1</w:t>
            </w:r>
          </w:p>
        </w:tc>
        <w:tc>
          <w:tcPr>
            <w:tcW w:w="1664" w:type="dxa"/>
            <w:vAlign w:val="center"/>
          </w:tcPr>
          <w:p>
            <w:pPr>
              <w:adjustRightInd w:val="0"/>
              <w:snapToGrid w:val="0"/>
              <w:spacing w:line="300" w:lineRule="exact"/>
              <w:jc w:val="center"/>
              <w:rPr>
                <w:rFonts w:ascii="宋体" w:hAnsi="宋体" w:cs="宋体"/>
              </w:rPr>
            </w:pPr>
            <w:r>
              <w:rPr>
                <w:rFonts w:hint="eastAsia" w:ascii="宋体" w:hAnsi="宋体" w:cs="宋体"/>
              </w:rPr>
              <w:t>是否授权评标委员会确定中标人</w:t>
            </w:r>
          </w:p>
        </w:tc>
        <w:tc>
          <w:tcPr>
            <w:tcW w:w="6948" w:type="dxa"/>
            <w:gridSpan w:val="2"/>
            <w:vAlign w:val="center"/>
          </w:tcPr>
          <w:p>
            <w:pPr>
              <w:adjustRightInd w:val="0"/>
              <w:snapToGrid w:val="0"/>
              <w:spacing w:line="300" w:lineRule="exact"/>
              <w:ind w:firstLine="210" w:firstLineChars="100"/>
              <w:rPr>
                <w:rFonts w:ascii="宋体" w:hAnsi="宋体" w:cs="宋体"/>
              </w:rPr>
            </w:pPr>
            <w:r>
              <w:rPr>
                <w:rFonts w:hint="eastAsia" w:ascii="宋体" w:hAnsi="宋体" w:cs="宋体"/>
              </w:rPr>
              <w:t>否，按照经评审的投标报价按由低到高顺序推荐中标候选人。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1" w:hRule="atLeast"/>
        </w:trPr>
        <w:tc>
          <w:tcPr>
            <w:tcW w:w="1278" w:type="dxa"/>
            <w:vAlign w:val="center"/>
          </w:tcPr>
          <w:p>
            <w:pPr>
              <w:snapToGrid w:val="0"/>
              <w:spacing w:line="360" w:lineRule="auto"/>
              <w:jc w:val="center"/>
              <w:rPr>
                <w:rFonts w:ascii="宋体" w:cs="仿宋"/>
                <w:kern w:val="0"/>
                <w:szCs w:val="21"/>
              </w:rPr>
            </w:pPr>
            <w:r>
              <w:rPr>
                <w:rFonts w:ascii="宋体" w:cs="仿宋"/>
                <w:kern w:val="0"/>
                <w:szCs w:val="21"/>
              </w:rPr>
              <w:t>7.3.1</w:t>
            </w:r>
          </w:p>
        </w:tc>
        <w:tc>
          <w:tcPr>
            <w:tcW w:w="1664" w:type="dxa"/>
            <w:vAlign w:val="center"/>
          </w:tcPr>
          <w:p>
            <w:pPr>
              <w:snapToGrid w:val="0"/>
              <w:spacing w:line="360" w:lineRule="auto"/>
              <w:jc w:val="center"/>
              <w:rPr>
                <w:rFonts w:ascii="宋体" w:cs="仿宋"/>
                <w:kern w:val="0"/>
                <w:szCs w:val="21"/>
              </w:rPr>
            </w:pPr>
            <w:r>
              <w:rPr>
                <w:rFonts w:hint="eastAsia" w:ascii="宋体" w:cs="仿宋"/>
                <w:kern w:val="0"/>
                <w:szCs w:val="21"/>
              </w:rPr>
              <w:t>履约担保金</w:t>
            </w:r>
          </w:p>
        </w:tc>
        <w:tc>
          <w:tcPr>
            <w:tcW w:w="6948" w:type="dxa"/>
            <w:gridSpan w:val="2"/>
            <w:vAlign w:val="center"/>
          </w:tcPr>
          <w:p>
            <w:pPr>
              <w:tabs>
                <w:tab w:val="left" w:pos="540"/>
                <w:tab w:val="left" w:pos="1080"/>
                <w:tab w:val="left" w:pos="1155"/>
              </w:tabs>
              <w:spacing w:line="400" w:lineRule="exact"/>
              <w:ind w:firstLine="210" w:firstLineChars="100"/>
              <w:jc w:val="left"/>
              <w:rPr>
                <w:rFonts w:hint="eastAsia" w:ascii="宋体" w:eastAsia="宋体" w:cs="仿宋"/>
                <w:kern w:val="0"/>
                <w:szCs w:val="21"/>
                <w:lang w:eastAsia="zh-CN"/>
              </w:rPr>
            </w:pPr>
            <w:r>
              <w:rPr>
                <w:rFonts w:hint="eastAsia" w:ascii="宋体" w:cs="仿宋"/>
                <w:kern w:val="0"/>
                <w:szCs w:val="21"/>
              </w:rPr>
              <w:t>1、担保形式：履约保证金</w:t>
            </w:r>
            <w:r>
              <w:rPr>
                <w:rFonts w:hint="eastAsia" w:ascii="宋体" w:cs="仿宋"/>
                <w:kern w:val="0"/>
                <w:szCs w:val="21"/>
                <w:lang w:eastAsia="zh-CN"/>
              </w:rPr>
              <w:t>；</w:t>
            </w:r>
          </w:p>
          <w:p>
            <w:pPr>
              <w:tabs>
                <w:tab w:val="left" w:pos="540"/>
                <w:tab w:val="left" w:pos="1080"/>
                <w:tab w:val="left" w:pos="1155"/>
              </w:tabs>
              <w:spacing w:line="400" w:lineRule="exact"/>
              <w:ind w:firstLine="210" w:firstLineChars="100"/>
              <w:jc w:val="left"/>
              <w:rPr>
                <w:rFonts w:hint="eastAsia" w:ascii="宋体" w:eastAsia="宋体" w:cs="仿宋"/>
                <w:kern w:val="0"/>
                <w:szCs w:val="21"/>
                <w:lang w:eastAsia="zh-CN"/>
              </w:rPr>
            </w:pPr>
            <w:r>
              <w:rPr>
                <w:rFonts w:hint="eastAsia" w:ascii="宋体" w:cs="仿宋"/>
                <w:kern w:val="0"/>
                <w:szCs w:val="21"/>
              </w:rPr>
              <w:t xml:space="preserve">2、金额： 履约保证金金额为中标价的10% </w:t>
            </w:r>
            <w:r>
              <w:rPr>
                <w:rFonts w:hint="eastAsia" w:ascii="宋体" w:cs="仿宋"/>
                <w:kern w:val="0"/>
                <w:szCs w:val="21"/>
                <w:lang w:eastAsia="zh-CN"/>
              </w:rPr>
              <w:t>；</w:t>
            </w:r>
          </w:p>
          <w:p>
            <w:pPr>
              <w:tabs>
                <w:tab w:val="left" w:pos="540"/>
                <w:tab w:val="left" w:pos="1080"/>
                <w:tab w:val="left" w:pos="1155"/>
              </w:tabs>
              <w:spacing w:line="400" w:lineRule="exact"/>
              <w:ind w:firstLine="210" w:firstLineChars="100"/>
              <w:jc w:val="left"/>
              <w:rPr>
                <w:rFonts w:hint="eastAsia" w:ascii="宋体" w:eastAsia="宋体" w:cs="仿宋"/>
                <w:kern w:val="0"/>
                <w:szCs w:val="21"/>
                <w:lang w:eastAsia="zh-CN"/>
              </w:rPr>
            </w:pPr>
            <w:r>
              <w:rPr>
                <w:rFonts w:hint="eastAsia" w:ascii="宋体" w:cs="仿宋"/>
                <w:kern w:val="0"/>
                <w:szCs w:val="21"/>
              </w:rPr>
              <w:t>3、提交方式：</w:t>
            </w:r>
            <w:r>
              <w:rPr>
                <w:rFonts w:hint="eastAsia" w:ascii="宋体" w:hAnsi="宋体"/>
                <w:kern w:val="0"/>
                <w:szCs w:val="21"/>
              </w:rPr>
              <w:t>现金</w:t>
            </w:r>
            <w:r>
              <w:rPr>
                <w:rFonts w:hint="eastAsia" w:ascii="宋体" w:hAnsi="宋体"/>
                <w:kern w:val="0"/>
                <w:szCs w:val="21"/>
                <w:lang w:eastAsia="zh-CN"/>
              </w:rPr>
              <w:t>转账</w:t>
            </w:r>
            <w:r>
              <w:rPr>
                <w:rFonts w:hint="eastAsia" w:ascii="宋体" w:hAnsi="宋体"/>
                <w:kern w:val="0"/>
                <w:szCs w:val="21"/>
              </w:rPr>
              <w:t>或不可撤销的见索即付银行保函</w:t>
            </w:r>
            <w:r>
              <w:rPr>
                <w:rFonts w:hint="eastAsia" w:ascii="宋体" w:hAnsi="宋体"/>
                <w:kern w:val="0"/>
                <w:szCs w:val="21"/>
                <w:lang w:eastAsia="zh-CN"/>
              </w:rPr>
              <w:t>；</w:t>
            </w:r>
          </w:p>
          <w:p>
            <w:pPr>
              <w:tabs>
                <w:tab w:val="left" w:pos="540"/>
                <w:tab w:val="left" w:pos="1080"/>
                <w:tab w:val="left" w:pos="1155"/>
              </w:tabs>
              <w:spacing w:line="400" w:lineRule="exact"/>
              <w:ind w:firstLine="210" w:firstLineChars="100"/>
              <w:jc w:val="left"/>
              <w:rPr>
                <w:rFonts w:ascii="宋体" w:cs="仿宋"/>
                <w:kern w:val="0"/>
                <w:szCs w:val="21"/>
              </w:rPr>
            </w:pPr>
            <w:r>
              <w:rPr>
                <w:rFonts w:hint="eastAsia" w:ascii="宋体" w:cs="仿宋"/>
                <w:kern w:val="0"/>
                <w:szCs w:val="21"/>
              </w:rPr>
              <w:t>4、递交时间：在收到中标通知书后5日内，合同签订前提交；如未按时提交，则视为中标人放弃中标。其投标保证金不予退还。给招标人造成的损失超过投标保证金数额的，中标人还应当对超过部分予以赔偿。</w:t>
            </w:r>
          </w:p>
          <w:p>
            <w:pPr>
              <w:tabs>
                <w:tab w:val="left" w:pos="540"/>
                <w:tab w:val="left" w:pos="1080"/>
                <w:tab w:val="left" w:pos="1155"/>
              </w:tabs>
              <w:spacing w:line="400" w:lineRule="exact"/>
              <w:jc w:val="left"/>
              <w:rPr>
                <w:rFonts w:ascii="宋体" w:cs="宋体"/>
                <w:kern w:val="0"/>
                <w:szCs w:val="21"/>
              </w:rPr>
            </w:pPr>
            <w:r>
              <w:rPr>
                <w:rFonts w:hint="eastAsia" w:ascii="宋体" w:cs="仿宋"/>
                <w:kern w:val="0"/>
                <w:szCs w:val="21"/>
              </w:rPr>
              <w:t xml:space="preserve">  5、履约担保金返还：工程竣工验收合格后30日内一次性不计息返还。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1278"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8.1</w:t>
            </w:r>
          </w:p>
        </w:tc>
        <w:tc>
          <w:tcPr>
            <w:tcW w:w="1664"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重新比选</w:t>
            </w:r>
          </w:p>
        </w:tc>
        <w:tc>
          <w:tcPr>
            <w:tcW w:w="6948" w:type="dxa"/>
            <w:gridSpan w:val="2"/>
            <w:vAlign w:val="center"/>
          </w:tcPr>
          <w:p>
            <w:pPr>
              <w:spacing w:line="380" w:lineRule="exact"/>
              <w:ind w:firstLine="420" w:firstLineChars="200"/>
            </w:pPr>
            <w:r>
              <w:rPr>
                <w:rFonts w:hint="eastAsia"/>
              </w:rPr>
              <w:t>1.按投标人须知第8.1（1）执行；</w:t>
            </w:r>
          </w:p>
          <w:p>
            <w:pPr>
              <w:spacing w:line="380" w:lineRule="exact"/>
              <w:ind w:firstLine="420" w:firstLineChars="200"/>
            </w:pPr>
            <w:r>
              <w:rPr>
                <w:rFonts w:hint="eastAsia"/>
              </w:rPr>
              <w:t>2.按投标人须知第8.1（2）执行；</w:t>
            </w:r>
          </w:p>
          <w:p>
            <w:pPr>
              <w:spacing w:line="380" w:lineRule="exact"/>
              <w:ind w:firstLine="420" w:firstLineChars="200"/>
            </w:pPr>
            <w:r>
              <w:rPr>
                <w:rFonts w:hint="eastAsia"/>
              </w:rPr>
              <w:t>3.按投标人须知第8.1（3）执行；</w:t>
            </w:r>
          </w:p>
          <w:p>
            <w:pPr>
              <w:tabs>
                <w:tab w:val="left" w:pos="540"/>
                <w:tab w:val="left" w:pos="1080"/>
                <w:tab w:val="left" w:pos="1155"/>
              </w:tabs>
              <w:spacing w:line="400" w:lineRule="exact"/>
              <w:ind w:firstLine="420" w:firstLineChars="200"/>
              <w:jc w:val="left"/>
              <w:rPr>
                <w:rFonts w:ascii="宋体" w:cs="仿宋"/>
                <w:kern w:val="0"/>
                <w:szCs w:val="21"/>
              </w:rPr>
            </w:pPr>
            <w:r>
              <w:rPr>
                <w:rFonts w:hint="eastAsia"/>
              </w:rPr>
              <w:t>4.按投标人须知第8.1（4）执行。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278"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8.2</w:t>
            </w:r>
          </w:p>
        </w:tc>
        <w:tc>
          <w:tcPr>
            <w:tcW w:w="1664"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 xml:space="preserve">  二次比选和不再比选</w:t>
            </w:r>
          </w:p>
        </w:tc>
        <w:tc>
          <w:tcPr>
            <w:tcW w:w="6948" w:type="dxa"/>
            <w:gridSpan w:val="2"/>
            <w:vAlign w:val="center"/>
          </w:tcPr>
          <w:p>
            <w:pPr>
              <w:tabs>
                <w:tab w:val="left" w:pos="540"/>
                <w:tab w:val="left" w:pos="1080"/>
                <w:tab w:val="left" w:pos="1155"/>
              </w:tabs>
              <w:spacing w:line="400" w:lineRule="exact"/>
              <w:ind w:firstLine="210" w:firstLineChars="100"/>
              <w:jc w:val="left"/>
              <w:rPr>
                <w:rFonts w:ascii="宋体" w:cs="仿宋"/>
                <w:kern w:val="0"/>
                <w:szCs w:val="21"/>
              </w:rPr>
            </w:pPr>
            <w:r>
              <w:rPr>
                <w:rFonts w:hint="eastAsia" w:ascii="宋体" w:cs="仿宋"/>
                <w:kern w:val="0"/>
                <w:szCs w:val="21"/>
              </w:rPr>
              <w:t>重新比选后投标人仍少于3个，按法定程序开标和评标，确定中标人。经评审无合格投标人，属于必须审批或核准的工程建设项目，经原审批或核准部门批准后不再进行比选。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78"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10</w:t>
            </w:r>
          </w:p>
        </w:tc>
        <w:tc>
          <w:tcPr>
            <w:tcW w:w="8612" w:type="dxa"/>
            <w:gridSpan w:val="3"/>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278" w:type="dxa"/>
            <w:vAlign w:val="center"/>
          </w:tcPr>
          <w:p>
            <w:pPr>
              <w:snapToGrid w:val="0"/>
              <w:spacing w:line="360" w:lineRule="auto"/>
              <w:ind w:firstLine="365" w:firstLineChars="174"/>
              <w:rPr>
                <w:rFonts w:ascii="宋体" w:cs="仿宋"/>
                <w:kern w:val="0"/>
                <w:szCs w:val="21"/>
              </w:rPr>
            </w:pPr>
            <w:r>
              <w:rPr>
                <w:rFonts w:ascii="宋体" w:cs="仿宋"/>
                <w:kern w:val="0"/>
                <w:szCs w:val="21"/>
              </w:rPr>
              <w:t>10</w:t>
            </w:r>
            <w:r>
              <w:rPr>
                <w:rFonts w:hint="eastAsia" w:ascii="宋体" w:cs="仿宋"/>
                <w:kern w:val="0"/>
                <w:szCs w:val="21"/>
              </w:rPr>
              <w:t>．</w:t>
            </w:r>
            <w:r>
              <w:rPr>
                <w:rFonts w:ascii="宋体" w:cs="仿宋"/>
                <w:kern w:val="0"/>
                <w:szCs w:val="21"/>
              </w:rPr>
              <w:t>1</w:t>
            </w:r>
          </w:p>
        </w:tc>
        <w:tc>
          <w:tcPr>
            <w:tcW w:w="1679" w:type="dxa"/>
            <w:gridSpan w:val="2"/>
            <w:vAlign w:val="center"/>
          </w:tcPr>
          <w:p>
            <w:pPr>
              <w:snapToGrid w:val="0"/>
              <w:spacing w:line="400" w:lineRule="exact"/>
              <w:ind w:firstLine="365" w:firstLineChars="174"/>
              <w:rPr>
                <w:rFonts w:ascii="宋体" w:cs="仿宋"/>
                <w:kern w:val="0"/>
                <w:szCs w:val="21"/>
              </w:rPr>
            </w:pPr>
            <w:r>
              <w:rPr>
                <w:rFonts w:hint="eastAsia" w:ascii="宋体" w:cs="仿宋"/>
                <w:kern w:val="0"/>
                <w:szCs w:val="21"/>
              </w:rPr>
              <w:t>工程款支付</w:t>
            </w:r>
            <w:r>
              <w:rPr>
                <w:rFonts w:ascii="宋体" w:cs="仿宋"/>
                <w:kern w:val="0"/>
                <w:szCs w:val="21"/>
              </w:rPr>
              <w:t xml:space="preserve">      </w:t>
            </w:r>
          </w:p>
        </w:tc>
        <w:tc>
          <w:tcPr>
            <w:tcW w:w="6933" w:type="dxa"/>
            <w:vAlign w:val="center"/>
          </w:tcPr>
          <w:p>
            <w:pPr>
              <w:spacing w:line="360" w:lineRule="auto"/>
              <w:ind w:firstLine="420" w:firstLineChars="200"/>
              <w:rPr>
                <w:rFonts w:ascii="宋体" w:hAnsi="宋体" w:cs="仿宋"/>
                <w:kern w:val="0"/>
                <w:szCs w:val="21"/>
              </w:rPr>
            </w:pPr>
            <w:r>
              <w:rPr>
                <w:rFonts w:hint="eastAsia" w:ascii="宋体" w:hAnsi="宋体"/>
                <w:color w:val="auto"/>
                <w:kern w:val="0"/>
                <w:szCs w:val="21"/>
              </w:rPr>
              <w:t>工程完工后支付双方认可的实际完成工程计量价的70%，苗木养护期及缺陷责任期（12个月）满且竣工验收合格后送结算审计，结算审计完成后360天内付至审定金额的100%。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278" w:type="dxa"/>
            <w:vAlign w:val="center"/>
          </w:tcPr>
          <w:p>
            <w:pPr>
              <w:spacing w:line="360" w:lineRule="auto"/>
              <w:jc w:val="center"/>
              <w:rPr>
                <w:rFonts w:ascii="宋体" w:cs="仿宋"/>
                <w:kern w:val="0"/>
                <w:szCs w:val="21"/>
              </w:rPr>
            </w:pPr>
            <w:r>
              <w:rPr>
                <w:rFonts w:ascii="宋体" w:cs="仿宋"/>
                <w:kern w:val="0"/>
                <w:szCs w:val="21"/>
              </w:rPr>
              <w:t>10</w:t>
            </w:r>
            <w:r>
              <w:rPr>
                <w:rFonts w:hint="eastAsia" w:ascii="宋体" w:cs="仿宋"/>
                <w:kern w:val="0"/>
                <w:szCs w:val="21"/>
              </w:rPr>
              <w:t>．</w:t>
            </w:r>
            <w:r>
              <w:rPr>
                <w:rFonts w:ascii="宋体" w:cs="仿宋"/>
                <w:kern w:val="0"/>
                <w:szCs w:val="21"/>
              </w:rPr>
              <w:t>2</w:t>
            </w:r>
          </w:p>
        </w:tc>
        <w:tc>
          <w:tcPr>
            <w:tcW w:w="1679" w:type="dxa"/>
            <w:gridSpan w:val="2"/>
            <w:vAlign w:val="center"/>
          </w:tcPr>
          <w:p>
            <w:pPr>
              <w:spacing w:line="360" w:lineRule="auto"/>
              <w:jc w:val="center"/>
              <w:rPr>
                <w:rFonts w:ascii="宋体" w:cs="仿宋"/>
                <w:kern w:val="0"/>
                <w:szCs w:val="21"/>
              </w:rPr>
            </w:pPr>
            <w:r>
              <w:rPr>
                <w:rFonts w:hint="eastAsia" w:ascii="宋体" w:cs="仿宋"/>
                <w:kern w:val="0"/>
                <w:szCs w:val="21"/>
              </w:rPr>
              <w:t>结算原则</w:t>
            </w:r>
          </w:p>
        </w:tc>
        <w:tc>
          <w:tcPr>
            <w:tcW w:w="6933" w:type="dxa"/>
            <w:vAlign w:val="center"/>
          </w:tcPr>
          <w:p>
            <w:pPr>
              <w:numPr>
                <w:ilvl w:val="0"/>
                <w:numId w:val="3"/>
              </w:numPr>
              <w:spacing w:line="420" w:lineRule="exact"/>
            </w:pPr>
            <w:r>
              <w:rPr>
                <w:rFonts w:hint="eastAsia"/>
              </w:rPr>
              <w:t>结算价=中标价±经发包人确认的应计增减（变更）工程造</w:t>
            </w:r>
          </w:p>
          <w:p>
            <w:pPr>
              <w:spacing w:line="420" w:lineRule="exact"/>
            </w:pPr>
            <w:r>
              <w:rPr>
                <w:rFonts w:hint="eastAsia"/>
              </w:rPr>
              <w:t>价±合同约定的其它费用，最终结算金额以审计机构审定的金额为准。承包人要认真准确办理结算，审减率在10%（含）以上的项目，审计费用由承包人承担。</w:t>
            </w:r>
          </w:p>
          <w:p>
            <w:pPr>
              <w:numPr>
                <w:ilvl w:val="0"/>
                <w:numId w:val="3"/>
              </w:numPr>
              <w:spacing w:line="420" w:lineRule="exact"/>
            </w:pPr>
            <w:r>
              <w:rPr>
                <w:rFonts w:hint="eastAsia"/>
              </w:rPr>
              <w:t xml:space="preserve">增减（变更）工程结算： </w:t>
            </w:r>
          </w:p>
          <w:p>
            <w:pPr>
              <w:spacing w:line="420" w:lineRule="exact"/>
              <w:ind w:firstLine="420" w:firstLineChars="200"/>
            </w:pPr>
            <w:r>
              <w:rPr>
                <w:rFonts w:hint="eastAsia"/>
              </w:rPr>
              <w:t>（1）工程内容与已标价工程量清单中有相同的子项或类似子项，则按投标时的相同子项或类似子项的综合单价执行（类似子项及其综合单价由比选人审定）；</w:t>
            </w:r>
          </w:p>
          <w:p>
            <w:pPr>
              <w:spacing w:line="420" w:lineRule="exact"/>
              <w:ind w:firstLine="420" w:firstLineChars="200"/>
              <w:rPr>
                <w:szCs w:val="22"/>
              </w:rPr>
            </w:pPr>
            <w:r>
              <w:rPr>
                <w:rFonts w:hint="eastAsia" w:ascii="宋体" w:hAnsi="宋体" w:cs="MingLiU"/>
                <w:snapToGrid w:val="0"/>
                <w:kern w:val="0"/>
                <w:szCs w:val="21"/>
              </w:rPr>
              <w:t>（2）</w:t>
            </w:r>
            <w:r>
              <w:rPr>
                <w:rFonts w:hint="eastAsia"/>
              </w:rPr>
              <w:t>工程内容如有与已标价工程量清单不同的子项（既无相同子项，又无类似子项），按</w:t>
            </w:r>
            <w:r>
              <w:rPr>
                <w:rFonts w:hint="eastAsia" w:ascii="宋体" w:hAnsi="宋体" w:cs="宋体"/>
                <w:szCs w:val="21"/>
              </w:rPr>
              <w:t>《建设工程工程量清单计价规范》（GB50500-2013）、《重庆市建设工程工程量清单计价规则》（CQQDGZ-2013）、《重庆市建设工程费用定额》</w:t>
            </w:r>
            <w:r>
              <w:rPr>
                <w:rFonts w:hint="eastAsia" w:ascii="宋体" w:hAnsi="宋体" w:cs="宋体"/>
                <w:szCs w:val="21"/>
                <w:lang w:eastAsia="zh-CN"/>
              </w:rPr>
              <w:t>、</w:t>
            </w:r>
            <w:r>
              <w:rPr>
                <w:rFonts w:hint="eastAsia" w:ascii="宋体" w:hAnsi="宋体" w:cs="宋体"/>
                <w:szCs w:val="21"/>
                <w:lang w:val="en-US" w:eastAsia="zh-CN"/>
              </w:rPr>
              <w:t>2018年《重庆市市政工程计价定额》</w:t>
            </w:r>
            <w:r>
              <w:rPr>
                <w:rFonts w:hint="eastAsia"/>
              </w:rPr>
              <w:t>及其相关配套文件</w:t>
            </w:r>
            <w:r>
              <w:rPr>
                <w:rFonts w:hint="eastAsia"/>
                <w:lang w:eastAsia="zh-CN"/>
              </w:rPr>
              <w:t>、设计图纸、国家技术规范、标准及工程实际情况</w:t>
            </w:r>
            <w:r>
              <w:rPr>
                <w:rFonts w:hint="eastAsia"/>
              </w:rPr>
              <w:t>计算后，再按承包人报价浮动率【承包人报价浮动率=（1-中标价/投标总报价最高限价）×100%】进行下浮后结算【其中</w:t>
            </w:r>
            <w:r>
              <w:rPr>
                <w:rFonts w:hint="eastAsia"/>
                <w:szCs w:val="22"/>
              </w:rPr>
              <w:t>：人工</w:t>
            </w:r>
            <w:r>
              <w:rPr>
                <w:rFonts w:hint="eastAsia"/>
                <w:szCs w:val="22"/>
                <w:lang w:eastAsia="zh-CN"/>
              </w:rPr>
              <w:t>单价</w:t>
            </w:r>
            <w:r>
              <w:rPr>
                <w:rFonts w:hint="eastAsia"/>
                <w:szCs w:val="22"/>
              </w:rPr>
              <w:t>按</w:t>
            </w:r>
            <w:r>
              <w:rPr>
                <w:rFonts w:hint="eastAsia"/>
                <w:szCs w:val="22"/>
                <w:lang w:eastAsia="zh-CN"/>
              </w:rPr>
              <w:t>重庆市建设工程造价信息网发布的</w:t>
            </w:r>
            <w:r>
              <w:rPr>
                <w:rFonts w:hint="eastAsia"/>
                <w:szCs w:val="22"/>
              </w:rPr>
              <w:t>2020年第四季度</w:t>
            </w:r>
            <w:r>
              <w:rPr>
                <w:rFonts w:hint="eastAsia"/>
                <w:szCs w:val="22"/>
                <w:lang w:eastAsia="zh-CN"/>
              </w:rPr>
              <w:t>人工价格计算</w:t>
            </w:r>
            <w:r>
              <w:rPr>
                <w:rFonts w:hint="eastAsia"/>
                <w:szCs w:val="22"/>
              </w:rPr>
              <w:t>；</w:t>
            </w:r>
            <w:r>
              <w:rPr>
                <w:rFonts w:hint="eastAsia"/>
                <w:szCs w:val="22"/>
                <w:lang w:eastAsia="zh-CN"/>
              </w:rPr>
              <w:t>主要</w:t>
            </w:r>
            <w:r>
              <w:rPr>
                <w:rFonts w:hint="eastAsia"/>
                <w:szCs w:val="22"/>
              </w:rPr>
              <w:t>材料</w:t>
            </w:r>
            <w:r>
              <w:rPr>
                <w:rFonts w:hint="eastAsia"/>
                <w:szCs w:val="22"/>
                <w:lang w:eastAsia="zh-CN"/>
              </w:rPr>
              <w:t>单价</w:t>
            </w:r>
            <w:r>
              <w:rPr>
                <w:rFonts w:hint="eastAsia"/>
                <w:szCs w:val="22"/>
              </w:rPr>
              <w:t>按</w:t>
            </w:r>
            <w:r>
              <w:rPr>
                <w:rFonts w:hint="eastAsia"/>
                <w:szCs w:val="22"/>
                <w:lang w:eastAsia="zh-CN"/>
              </w:rPr>
              <w:t>重庆市建设工程造价信息网发布的</w:t>
            </w:r>
            <w:r>
              <w:rPr>
                <w:rFonts w:hint="eastAsia"/>
                <w:szCs w:val="22"/>
                <w:lang w:val="en-US" w:eastAsia="zh-CN"/>
              </w:rPr>
              <w:t>2021年1月铜梁区及目前市场相应的材料价格（不税价）计算</w:t>
            </w:r>
            <w:r>
              <w:rPr>
                <w:rFonts w:hint="eastAsia"/>
                <w:szCs w:val="22"/>
              </w:rPr>
              <w:t>；下浮基数不含安全文明施工费、认质核价的材料费、规费、税金】。</w:t>
            </w:r>
          </w:p>
          <w:p>
            <w:pPr>
              <w:spacing w:line="420" w:lineRule="exact"/>
              <w:ind w:firstLine="420" w:firstLineChars="200"/>
            </w:pPr>
            <w:r>
              <w:rPr>
                <w:rFonts w:hint="eastAsia"/>
              </w:rPr>
              <w:t>3. 安全文明施工费：按《关于印发&lt;重庆市建设工程安全文明施工费计取及使用管理规定&gt;的通知》（渝建发[2014]25号）及《重庆市城乡建设委员会关于建筑业营业税改增值税调整建设工程计价依据的通知》（渝建发〔2016〕35号）规定进行结算，安全文明施工综合评定结果为不合格，则不计取。</w:t>
            </w:r>
          </w:p>
          <w:p>
            <w:pPr>
              <w:spacing w:line="360" w:lineRule="auto"/>
              <w:ind w:firstLine="420" w:firstLineChars="200"/>
              <w:rPr>
                <w:rFonts w:ascii="宋体" w:hAnsi="宋体" w:cs="仿宋"/>
                <w:kern w:val="0"/>
                <w:szCs w:val="21"/>
              </w:rPr>
            </w:pPr>
            <w:r>
              <w:rPr>
                <w:rFonts w:hint="eastAsia"/>
              </w:rPr>
              <w:t>4.施工技术措施项目清单计价表中以项为单位计列的项目，按投标时的报价作为结算价，包干使用。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78" w:type="dxa"/>
            <w:vAlign w:val="center"/>
          </w:tcPr>
          <w:p>
            <w:pPr>
              <w:adjustRightInd w:val="0"/>
              <w:snapToGrid w:val="0"/>
              <w:spacing w:line="300" w:lineRule="exact"/>
              <w:jc w:val="center"/>
              <w:rPr>
                <w:rFonts w:ascii="宋体" w:hAnsi="宋体" w:cs="宋体"/>
              </w:rPr>
            </w:pPr>
            <w:r>
              <w:rPr>
                <w:rFonts w:ascii="宋体" w:hAnsi="宋体" w:cs="宋体"/>
              </w:rPr>
              <w:t>10.</w:t>
            </w:r>
            <w:r>
              <w:rPr>
                <w:rFonts w:hint="eastAsia" w:ascii="宋体" w:hAnsi="宋体" w:cs="宋体"/>
              </w:rPr>
              <w:t>3</w:t>
            </w:r>
          </w:p>
        </w:tc>
        <w:tc>
          <w:tcPr>
            <w:tcW w:w="1679" w:type="dxa"/>
            <w:gridSpan w:val="2"/>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比选代理</w:t>
            </w:r>
          </w:p>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服务费</w:t>
            </w:r>
          </w:p>
        </w:tc>
        <w:tc>
          <w:tcPr>
            <w:tcW w:w="6933" w:type="dxa"/>
            <w:vAlign w:val="center"/>
          </w:tcPr>
          <w:p>
            <w:pPr>
              <w:tabs>
                <w:tab w:val="left" w:pos="540"/>
                <w:tab w:val="left" w:pos="1080"/>
                <w:tab w:val="left" w:pos="1155"/>
              </w:tabs>
              <w:spacing w:line="400" w:lineRule="exact"/>
              <w:ind w:firstLine="210" w:firstLineChars="100"/>
              <w:jc w:val="left"/>
              <w:rPr>
                <w:rFonts w:ascii="宋体" w:cs="仿宋"/>
                <w:kern w:val="0"/>
                <w:szCs w:val="21"/>
              </w:rPr>
            </w:pPr>
            <w:r>
              <w:rPr>
                <w:rFonts w:hint="eastAsia" w:ascii="宋体" w:cs="仿宋"/>
                <w:kern w:val="0"/>
                <w:szCs w:val="21"/>
              </w:rPr>
              <w:t>1.本项目比选代理服务费由中标单位支付。</w:t>
            </w:r>
          </w:p>
          <w:p>
            <w:pPr>
              <w:tabs>
                <w:tab w:val="left" w:pos="540"/>
                <w:tab w:val="left" w:pos="1080"/>
                <w:tab w:val="left" w:pos="1155"/>
              </w:tabs>
              <w:spacing w:line="400" w:lineRule="exact"/>
              <w:ind w:firstLine="210" w:firstLineChars="100"/>
              <w:jc w:val="left"/>
              <w:rPr>
                <w:rFonts w:ascii="宋体" w:cs="仿宋"/>
                <w:kern w:val="0"/>
                <w:szCs w:val="21"/>
              </w:rPr>
            </w:pPr>
            <w:r>
              <w:rPr>
                <w:rFonts w:hint="eastAsia" w:ascii="宋体" w:cs="仿宋"/>
                <w:kern w:val="0"/>
                <w:szCs w:val="21"/>
              </w:rPr>
              <w:t>2.比选代理服务费金额：</w:t>
            </w:r>
            <w:r>
              <w:rPr>
                <w:rFonts w:hint="eastAsia" w:ascii="宋体" w:cs="仿宋"/>
                <w:b/>
                <w:bCs/>
                <w:kern w:val="0"/>
                <w:szCs w:val="21"/>
                <w:u w:val="single"/>
              </w:rPr>
              <w:t>5000.00元</w:t>
            </w:r>
            <w:r>
              <w:rPr>
                <w:rFonts w:hint="eastAsia" w:ascii="宋体" w:cs="仿宋"/>
                <w:kern w:val="0"/>
                <w:szCs w:val="21"/>
              </w:rPr>
              <w:t>。</w:t>
            </w:r>
          </w:p>
          <w:p>
            <w:pPr>
              <w:tabs>
                <w:tab w:val="left" w:pos="540"/>
                <w:tab w:val="left" w:pos="1080"/>
                <w:tab w:val="left" w:pos="1155"/>
              </w:tabs>
              <w:spacing w:line="400" w:lineRule="exact"/>
              <w:ind w:firstLine="210" w:firstLineChars="100"/>
              <w:jc w:val="left"/>
              <w:rPr>
                <w:rFonts w:ascii="宋体" w:cs="仿宋"/>
                <w:kern w:val="0"/>
                <w:szCs w:val="21"/>
              </w:rPr>
            </w:pPr>
            <w:r>
              <w:rPr>
                <w:rFonts w:hint="eastAsia" w:ascii="宋体" w:cs="仿宋"/>
                <w:kern w:val="0"/>
                <w:szCs w:val="21"/>
              </w:rPr>
              <w:t>3.支付时间：在中标通知书发出前由中标单位一次性向比选代理机构支付。</w:t>
            </w:r>
          </w:p>
        </w:tc>
      </w:tr>
    </w:tbl>
    <w:p>
      <w:pPr>
        <w:spacing w:line="400" w:lineRule="exact"/>
        <w:outlineLvl w:val="1"/>
        <w:rPr>
          <w:rFonts w:ascii="宋体" w:cs="仿宋"/>
          <w:b/>
          <w:snapToGrid w:val="0"/>
          <w:sz w:val="24"/>
          <w:szCs w:val="24"/>
        </w:rPr>
      </w:pPr>
      <w:bookmarkStart w:id="65" w:name="_Toc20959"/>
      <w:bookmarkStart w:id="66" w:name="_Toc322559584"/>
      <w:bookmarkStart w:id="67" w:name="_Toc325910556"/>
      <w:bookmarkStart w:id="68" w:name="_Toc101155951"/>
      <w:bookmarkStart w:id="69" w:name="_Toc101155748"/>
    </w:p>
    <w:p>
      <w:pPr>
        <w:spacing w:line="400" w:lineRule="exact"/>
        <w:outlineLvl w:val="1"/>
        <w:rPr>
          <w:rFonts w:ascii="宋体" w:cs="仿宋"/>
          <w:b/>
          <w:snapToGrid w:val="0"/>
          <w:sz w:val="24"/>
          <w:szCs w:val="24"/>
        </w:rPr>
      </w:pPr>
    </w:p>
    <w:p>
      <w:pPr>
        <w:spacing w:line="400" w:lineRule="exact"/>
        <w:outlineLvl w:val="1"/>
        <w:rPr>
          <w:rFonts w:ascii="宋体" w:cs="仿宋"/>
          <w:b/>
          <w:snapToGrid w:val="0"/>
          <w:sz w:val="24"/>
          <w:szCs w:val="24"/>
        </w:rPr>
      </w:pPr>
    </w:p>
    <w:p>
      <w:pPr>
        <w:spacing w:line="400" w:lineRule="exact"/>
        <w:outlineLvl w:val="1"/>
        <w:rPr>
          <w:rFonts w:ascii="宋体" w:cs="仿宋"/>
          <w:b/>
          <w:snapToGrid w:val="0"/>
          <w:sz w:val="24"/>
          <w:szCs w:val="24"/>
        </w:rPr>
      </w:pPr>
    </w:p>
    <w:p>
      <w:pPr>
        <w:spacing w:line="400" w:lineRule="exact"/>
        <w:outlineLvl w:val="1"/>
        <w:rPr>
          <w:rFonts w:ascii="宋体" w:cs="仿宋"/>
          <w:b/>
          <w:snapToGrid w:val="0"/>
          <w:sz w:val="24"/>
          <w:szCs w:val="24"/>
        </w:rPr>
      </w:pPr>
    </w:p>
    <w:p>
      <w:pPr>
        <w:spacing w:line="400" w:lineRule="exact"/>
        <w:outlineLvl w:val="1"/>
        <w:rPr>
          <w:rFonts w:ascii="宋体" w:cs="仿宋"/>
          <w:b/>
          <w:snapToGrid w:val="0"/>
          <w:sz w:val="24"/>
          <w:szCs w:val="24"/>
        </w:rPr>
      </w:pPr>
    </w:p>
    <w:p>
      <w:pPr>
        <w:spacing w:line="400" w:lineRule="exact"/>
        <w:outlineLvl w:val="1"/>
        <w:rPr>
          <w:rFonts w:ascii="宋体" w:cs="仿宋"/>
          <w:b/>
          <w:snapToGrid w:val="0"/>
          <w:sz w:val="24"/>
          <w:szCs w:val="24"/>
        </w:rPr>
      </w:pPr>
    </w:p>
    <w:p>
      <w:pPr>
        <w:spacing w:line="400" w:lineRule="exact"/>
        <w:outlineLvl w:val="1"/>
        <w:rPr>
          <w:rFonts w:ascii="宋体" w:cs="仿宋"/>
          <w:b/>
          <w:snapToGrid w:val="0"/>
          <w:sz w:val="24"/>
          <w:szCs w:val="24"/>
        </w:rPr>
      </w:pPr>
    </w:p>
    <w:p>
      <w:pPr>
        <w:spacing w:line="400" w:lineRule="exact"/>
        <w:outlineLvl w:val="1"/>
        <w:rPr>
          <w:rFonts w:ascii="宋体" w:cs="仿宋"/>
          <w:b/>
          <w:snapToGrid w:val="0"/>
          <w:sz w:val="24"/>
          <w:szCs w:val="24"/>
        </w:rPr>
      </w:pPr>
    </w:p>
    <w:p>
      <w:pPr>
        <w:spacing w:line="400" w:lineRule="exact"/>
        <w:outlineLvl w:val="1"/>
        <w:rPr>
          <w:rFonts w:ascii="宋体" w:cs="仿宋"/>
          <w:b/>
          <w:snapToGrid w:val="0"/>
          <w:sz w:val="24"/>
          <w:szCs w:val="24"/>
        </w:rPr>
      </w:pPr>
    </w:p>
    <w:p>
      <w:pPr>
        <w:spacing w:line="400" w:lineRule="exact"/>
        <w:outlineLvl w:val="1"/>
        <w:rPr>
          <w:rFonts w:ascii="宋体" w:cs="仿宋"/>
          <w:b/>
          <w:snapToGrid w:val="0"/>
          <w:sz w:val="24"/>
          <w:szCs w:val="24"/>
        </w:rPr>
      </w:pPr>
    </w:p>
    <w:p>
      <w:pPr>
        <w:spacing w:line="400" w:lineRule="exact"/>
        <w:outlineLvl w:val="1"/>
        <w:rPr>
          <w:rFonts w:ascii="宋体" w:cs="仿宋"/>
          <w:b/>
          <w:snapToGrid w:val="0"/>
          <w:sz w:val="24"/>
          <w:szCs w:val="24"/>
        </w:rPr>
      </w:pPr>
    </w:p>
    <w:p>
      <w:pPr>
        <w:spacing w:line="400" w:lineRule="exact"/>
        <w:outlineLvl w:val="1"/>
        <w:rPr>
          <w:rFonts w:ascii="宋体" w:cs="仿宋"/>
          <w:b/>
          <w:snapToGrid w:val="0"/>
          <w:sz w:val="24"/>
          <w:szCs w:val="24"/>
        </w:rPr>
      </w:pPr>
    </w:p>
    <w:p>
      <w:pPr>
        <w:spacing w:line="400" w:lineRule="exact"/>
        <w:outlineLvl w:val="1"/>
        <w:rPr>
          <w:rFonts w:ascii="宋体" w:cs="仿宋"/>
          <w:b/>
          <w:snapToGrid w:val="0"/>
          <w:sz w:val="24"/>
          <w:szCs w:val="24"/>
        </w:rPr>
      </w:pPr>
    </w:p>
    <w:p>
      <w:pPr>
        <w:spacing w:line="400" w:lineRule="exact"/>
        <w:outlineLvl w:val="1"/>
        <w:rPr>
          <w:rFonts w:ascii="宋体" w:cs="仿宋"/>
          <w:b/>
          <w:snapToGrid w:val="0"/>
          <w:sz w:val="24"/>
          <w:szCs w:val="24"/>
        </w:rPr>
      </w:pPr>
    </w:p>
    <w:p>
      <w:pPr>
        <w:spacing w:line="400" w:lineRule="exact"/>
        <w:outlineLvl w:val="1"/>
        <w:rPr>
          <w:rFonts w:ascii="宋体" w:cs="仿宋"/>
          <w:b/>
          <w:snapToGrid w:val="0"/>
          <w:sz w:val="24"/>
          <w:szCs w:val="24"/>
        </w:rPr>
      </w:pPr>
    </w:p>
    <w:p>
      <w:pPr>
        <w:spacing w:line="400" w:lineRule="exact"/>
        <w:outlineLvl w:val="1"/>
        <w:rPr>
          <w:rFonts w:ascii="宋体" w:cs="仿宋"/>
          <w:b/>
          <w:snapToGrid w:val="0"/>
          <w:sz w:val="24"/>
          <w:szCs w:val="24"/>
        </w:rPr>
      </w:pPr>
    </w:p>
    <w:p>
      <w:pPr>
        <w:spacing w:line="400" w:lineRule="exact"/>
        <w:outlineLvl w:val="1"/>
        <w:rPr>
          <w:rFonts w:ascii="宋体" w:cs="仿宋"/>
          <w:b/>
          <w:snapToGrid w:val="0"/>
          <w:sz w:val="24"/>
          <w:szCs w:val="24"/>
        </w:rPr>
      </w:pPr>
    </w:p>
    <w:p>
      <w:pPr>
        <w:spacing w:line="400" w:lineRule="exact"/>
        <w:outlineLvl w:val="1"/>
        <w:rPr>
          <w:rFonts w:ascii="宋体" w:cs="仿宋"/>
          <w:sz w:val="24"/>
          <w:szCs w:val="24"/>
        </w:rPr>
      </w:pPr>
      <w:r>
        <w:rPr>
          <w:rFonts w:ascii="宋体" w:cs="仿宋"/>
          <w:b/>
          <w:snapToGrid w:val="0"/>
          <w:sz w:val="24"/>
          <w:szCs w:val="24"/>
        </w:rPr>
        <w:t xml:space="preserve">1. </w:t>
      </w:r>
      <w:r>
        <w:rPr>
          <w:rFonts w:hint="eastAsia" w:ascii="宋体" w:cs="仿宋"/>
          <w:b/>
          <w:snapToGrid w:val="0"/>
          <w:sz w:val="24"/>
          <w:szCs w:val="24"/>
        </w:rPr>
        <w:t>总则</w:t>
      </w:r>
      <w:bookmarkEnd w:id="65"/>
      <w:bookmarkEnd w:id="66"/>
      <w:bookmarkEnd w:id="67"/>
    </w:p>
    <w:p>
      <w:pPr>
        <w:pStyle w:val="6"/>
        <w:snapToGrid w:val="0"/>
        <w:spacing w:before="0" w:after="0" w:line="400" w:lineRule="exact"/>
        <w:rPr>
          <w:rFonts w:ascii="宋体" w:cs="仿宋"/>
          <w:snapToGrid w:val="0"/>
          <w:sz w:val="21"/>
          <w:szCs w:val="21"/>
        </w:rPr>
      </w:pPr>
      <w:bookmarkStart w:id="70" w:name="_Toc298010251"/>
      <w:bookmarkStart w:id="71" w:name="_Toc322559161"/>
      <w:bookmarkStart w:id="72" w:name="_Toc322559585"/>
      <w:bookmarkStart w:id="73" w:name="_Toc23346"/>
      <w:bookmarkStart w:id="74" w:name="_Toc325910557"/>
      <w:bookmarkStart w:id="75" w:name="_Toc200513127"/>
      <w:bookmarkStart w:id="76" w:name="_Toc296674639"/>
      <w:r>
        <w:rPr>
          <w:rFonts w:hint="eastAsia" w:ascii="宋体" w:cs="仿宋"/>
          <w:snapToGrid w:val="0"/>
          <w:sz w:val="21"/>
          <w:szCs w:val="21"/>
        </w:rPr>
        <w:t>1.1 项目概况</w:t>
      </w:r>
      <w:bookmarkEnd w:id="70"/>
      <w:bookmarkEnd w:id="71"/>
      <w:bookmarkEnd w:id="72"/>
      <w:bookmarkEnd w:id="73"/>
      <w:bookmarkEnd w:id="74"/>
      <w:bookmarkEnd w:id="75"/>
      <w:bookmarkEnd w:id="76"/>
    </w:p>
    <w:p>
      <w:pPr>
        <w:autoSpaceDE w:val="0"/>
        <w:autoSpaceDN w:val="0"/>
        <w:adjustRightInd w:val="0"/>
        <w:snapToGrid w:val="0"/>
        <w:spacing w:line="400" w:lineRule="exact"/>
        <w:ind w:firstLine="420" w:firstLineChars="200"/>
        <w:jc w:val="left"/>
        <w:rPr>
          <w:rFonts w:ascii="宋体" w:cs="仿宋"/>
          <w:snapToGrid w:val="0"/>
          <w:kern w:val="0"/>
          <w:szCs w:val="21"/>
        </w:rPr>
      </w:pPr>
      <w:bookmarkStart w:id="77" w:name="_Toc200513128"/>
      <w:bookmarkStart w:id="78" w:name="_Toc322559586"/>
      <w:bookmarkStart w:id="79" w:name="_Toc298010252"/>
      <w:bookmarkStart w:id="80" w:name="_Toc296674640"/>
      <w:bookmarkStart w:id="81" w:name="_Toc322559162"/>
      <w:r>
        <w:rPr>
          <w:rFonts w:ascii="宋体" w:cs="仿宋"/>
          <w:snapToGrid w:val="0"/>
          <w:kern w:val="0"/>
          <w:szCs w:val="21"/>
        </w:rPr>
        <w:t xml:space="preserve">1.1.1  </w:t>
      </w:r>
      <w:r>
        <w:rPr>
          <w:rFonts w:hint="eastAsia" w:ascii="宋体" w:cs="仿宋"/>
          <w:snapToGrid w:val="0"/>
          <w:kern w:val="0"/>
          <w:szCs w:val="21"/>
        </w:rPr>
        <w:t>根据《中华人民共和国招标投标法》等有关法律、法规和规章的规定，本比选项目已具备比选条件，现对本工程施工进行竞争性比选。</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ascii="宋体" w:cs="仿宋"/>
          <w:snapToGrid w:val="0"/>
          <w:kern w:val="0"/>
          <w:szCs w:val="21"/>
        </w:rPr>
        <w:t xml:space="preserve">1.1.2  </w:t>
      </w:r>
      <w:r>
        <w:rPr>
          <w:rFonts w:hint="eastAsia" w:ascii="宋体" w:cs="仿宋"/>
          <w:snapToGrid w:val="0"/>
          <w:kern w:val="0"/>
          <w:szCs w:val="21"/>
        </w:rPr>
        <w:t>本比选项目比选人：见投标人须知前附表。</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ascii="宋体" w:cs="仿宋"/>
          <w:snapToGrid w:val="0"/>
          <w:kern w:val="0"/>
          <w:szCs w:val="21"/>
        </w:rPr>
        <w:t xml:space="preserve">1.1.3  </w:t>
      </w:r>
      <w:r>
        <w:rPr>
          <w:rFonts w:hint="eastAsia" w:ascii="宋体" w:cs="仿宋"/>
          <w:snapToGrid w:val="0"/>
          <w:kern w:val="0"/>
          <w:szCs w:val="21"/>
        </w:rPr>
        <w:t>本工程比选代理机构：见投标人须知前附表。</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ascii="宋体" w:cs="仿宋"/>
          <w:snapToGrid w:val="0"/>
          <w:kern w:val="0"/>
          <w:szCs w:val="21"/>
        </w:rPr>
        <w:t xml:space="preserve">1.1.4  </w:t>
      </w:r>
      <w:r>
        <w:rPr>
          <w:rFonts w:hint="eastAsia" w:ascii="宋体" w:cs="仿宋"/>
          <w:snapToGrid w:val="0"/>
          <w:kern w:val="0"/>
          <w:szCs w:val="21"/>
        </w:rPr>
        <w:t>本比选项目名称：见投标人须知前附表。</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ascii="宋体" w:cs="仿宋"/>
          <w:snapToGrid w:val="0"/>
          <w:kern w:val="0"/>
          <w:szCs w:val="21"/>
        </w:rPr>
        <w:t xml:space="preserve">1.1.5  </w:t>
      </w:r>
      <w:r>
        <w:rPr>
          <w:rFonts w:hint="eastAsia" w:ascii="宋体" w:cs="仿宋"/>
          <w:snapToGrid w:val="0"/>
          <w:kern w:val="0"/>
          <w:szCs w:val="21"/>
        </w:rPr>
        <w:t>本工程建设地点：见投标人须知前附表。</w:t>
      </w:r>
    </w:p>
    <w:p>
      <w:pPr>
        <w:pStyle w:val="6"/>
        <w:snapToGrid w:val="0"/>
        <w:spacing w:before="0" w:after="0" w:line="400" w:lineRule="exact"/>
        <w:rPr>
          <w:rFonts w:ascii="宋体" w:cs="仿宋"/>
          <w:snapToGrid w:val="0"/>
          <w:sz w:val="21"/>
          <w:szCs w:val="21"/>
        </w:rPr>
      </w:pPr>
      <w:bookmarkStart w:id="82" w:name="_Toc28518"/>
      <w:r>
        <w:rPr>
          <w:rFonts w:hint="eastAsia" w:ascii="宋体" w:cs="仿宋"/>
          <w:snapToGrid w:val="0"/>
          <w:sz w:val="21"/>
          <w:szCs w:val="21"/>
        </w:rPr>
        <w:t>1.2 资金来源和落实情况</w:t>
      </w:r>
      <w:bookmarkEnd w:id="77"/>
      <w:bookmarkEnd w:id="78"/>
      <w:bookmarkEnd w:id="79"/>
      <w:bookmarkEnd w:id="80"/>
      <w:bookmarkEnd w:id="81"/>
      <w:bookmarkEnd w:id="82"/>
    </w:p>
    <w:p>
      <w:pPr>
        <w:autoSpaceDE w:val="0"/>
        <w:autoSpaceDN w:val="0"/>
        <w:adjustRightInd w:val="0"/>
        <w:snapToGrid w:val="0"/>
        <w:spacing w:line="400" w:lineRule="exact"/>
        <w:ind w:firstLine="420" w:firstLineChars="200"/>
        <w:jc w:val="left"/>
        <w:rPr>
          <w:rFonts w:ascii="宋体" w:cs="仿宋"/>
          <w:snapToGrid w:val="0"/>
          <w:kern w:val="0"/>
          <w:szCs w:val="21"/>
        </w:rPr>
      </w:pPr>
      <w:bookmarkStart w:id="83" w:name="_Toc322559163"/>
      <w:bookmarkStart w:id="84" w:name="_Toc322559587"/>
      <w:bookmarkStart w:id="85" w:name="_Toc296674641"/>
      <w:bookmarkStart w:id="86" w:name="_Toc298010253"/>
      <w:bookmarkStart w:id="87" w:name="_Toc325910558"/>
      <w:bookmarkStart w:id="88" w:name="_Toc200513129"/>
      <w:r>
        <w:rPr>
          <w:rFonts w:ascii="宋体" w:cs="仿宋"/>
          <w:snapToGrid w:val="0"/>
          <w:kern w:val="0"/>
          <w:szCs w:val="21"/>
        </w:rPr>
        <w:t xml:space="preserve">1.2.1  </w:t>
      </w:r>
      <w:r>
        <w:rPr>
          <w:rFonts w:hint="eastAsia" w:ascii="宋体" w:cs="仿宋"/>
          <w:snapToGrid w:val="0"/>
          <w:kern w:val="0"/>
          <w:szCs w:val="21"/>
        </w:rPr>
        <w:t>本比选项目的资金来源：见投标人须知前附表。</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ascii="宋体" w:cs="仿宋"/>
          <w:snapToGrid w:val="0"/>
          <w:kern w:val="0"/>
          <w:szCs w:val="21"/>
        </w:rPr>
        <w:t xml:space="preserve">1.2.2  </w:t>
      </w:r>
      <w:r>
        <w:rPr>
          <w:rFonts w:hint="eastAsia" w:ascii="宋体" w:cs="仿宋"/>
          <w:snapToGrid w:val="0"/>
          <w:kern w:val="0"/>
          <w:szCs w:val="21"/>
        </w:rPr>
        <w:t>本比选项目的出资比例：见投标人须知前附表。</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ascii="宋体" w:cs="仿宋"/>
          <w:snapToGrid w:val="0"/>
          <w:kern w:val="0"/>
          <w:szCs w:val="21"/>
        </w:rPr>
        <w:t xml:space="preserve">1.2.3  </w:t>
      </w:r>
      <w:r>
        <w:rPr>
          <w:rFonts w:hint="eastAsia" w:ascii="宋体" w:cs="仿宋"/>
          <w:snapToGrid w:val="0"/>
          <w:kern w:val="0"/>
          <w:szCs w:val="21"/>
        </w:rPr>
        <w:t>本比选项目的资金落实情况：见投标人须知前附表。</w:t>
      </w:r>
    </w:p>
    <w:p>
      <w:pPr>
        <w:pStyle w:val="6"/>
        <w:snapToGrid w:val="0"/>
        <w:spacing w:before="0" w:after="0" w:line="400" w:lineRule="exact"/>
        <w:rPr>
          <w:rFonts w:ascii="宋体" w:cs="仿宋"/>
          <w:snapToGrid w:val="0"/>
          <w:sz w:val="21"/>
          <w:szCs w:val="21"/>
        </w:rPr>
      </w:pPr>
      <w:bookmarkStart w:id="89" w:name="_Toc15087"/>
      <w:r>
        <w:rPr>
          <w:rFonts w:hint="eastAsia" w:ascii="宋体" w:cs="仿宋"/>
          <w:snapToGrid w:val="0"/>
          <w:sz w:val="21"/>
          <w:szCs w:val="21"/>
        </w:rPr>
        <w:t>1.3 比选范围、计划工期和质量要求</w:t>
      </w:r>
      <w:bookmarkEnd w:id="83"/>
      <w:bookmarkEnd w:id="84"/>
      <w:bookmarkEnd w:id="85"/>
      <w:bookmarkEnd w:id="86"/>
      <w:bookmarkEnd w:id="87"/>
      <w:bookmarkEnd w:id="88"/>
      <w:bookmarkEnd w:id="89"/>
    </w:p>
    <w:p>
      <w:pPr>
        <w:autoSpaceDE w:val="0"/>
        <w:autoSpaceDN w:val="0"/>
        <w:adjustRightInd w:val="0"/>
        <w:snapToGrid w:val="0"/>
        <w:spacing w:line="400" w:lineRule="exact"/>
        <w:ind w:firstLine="420" w:firstLineChars="200"/>
        <w:jc w:val="left"/>
        <w:rPr>
          <w:rFonts w:ascii="宋体" w:cs="仿宋"/>
          <w:snapToGrid w:val="0"/>
          <w:kern w:val="0"/>
          <w:szCs w:val="21"/>
        </w:rPr>
      </w:pPr>
      <w:bookmarkStart w:id="90" w:name="_Toc296674642"/>
      <w:bookmarkStart w:id="91" w:name="_Toc322559588"/>
      <w:bookmarkStart w:id="92" w:name="_Toc325910559"/>
      <w:bookmarkStart w:id="93" w:name="_Toc298010254"/>
      <w:bookmarkStart w:id="94" w:name="_Toc200513131"/>
      <w:bookmarkStart w:id="95" w:name="_Toc322559164"/>
      <w:r>
        <w:rPr>
          <w:rFonts w:ascii="宋体" w:cs="仿宋"/>
          <w:snapToGrid w:val="0"/>
          <w:kern w:val="0"/>
          <w:szCs w:val="21"/>
        </w:rPr>
        <w:t xml:space="preserve">1.3.1  </w:t>
      </w:r>
      <w:r>
        <w:rPr>
          <w:rFonts w:hint="eastAsia" w:ascii="宋体" w:cs="仿宋"/>
          <w:snapToGrid w:val="0"/>
          <w:kern w:val="0"/>
          <w:szCs w:val="21"/>
        </w:rPr>
        <w:t>本次比选范围：见投标人须知前附表。</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ascii="宋体" w:cs="仿宋"/>
          <w:snapToGrid w:val="0"/>
          <w:kern w:val="0"/>
          <w:szCs w:val="21"/>
        </w:rPr>
        <w:t xml:space="preserve">1.3.2  </w:t>
      </w:r>
      <w:r>
        <w:rPr>
          <w:rFonts w:hint="eastAsia" w:ascii="宋体" w:cs="仿宋"/>
          <w:snapToGrid w:val="0"/>
          <w:kern w:val="0"/>
          <w:szCs w:val="21"/>
        </w:rPr>
        <w:t>本工程的计划工期：见投标人须知前附表。</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ascii="宋体" w:cs="仿宋"/>
          <w:snapToGrid w:val="0"/>
          <w:kern w:val="0"/>
          <w:szCs w:val="21"/>
        </w:rPr>
        <w:t xml:space="preserve">1.3.3  </w:t>
      </w:r>
      <w:r>
        <w:rPr>
          <w:rFonts w:hint="eastAsia" w:ascii="宋体" w:cs="仿宋"/>
          <w:snapToGrid w:val="0"/>
          <w:kern w:val="0"/>
          <w:szCs w:val="21"/>
        </w:rPr>
        <w:t>本工程的质量要求：见投标人须知前附表。</w:t>
      </w:r>
    </w:p>
    <w:p>
      <w:pPr>
        <w:pStyle w:val="6"/>
        <w:snapToGrid w:val="0"/>
        <w:spacing w:before="0" w:after="0" w:line="400" w:lineRule="exact"/>
        <w:rPr>
          <w:rFonts w:ascii="宋体" w:cs="仿宋"/>
          <w:snapToGrid w:val="0"/>
          <w:sz w:val="21"/>
          <w:szCs w:val="21"/>
        </w:rPr>
      </w:pPr>
      <w:bookmarkStart w:id="96" w:name="_Toc13782"/>
      <w:r>
        <w:rPr>
          <w:rFonts w:hint="eastAsia" w:ascii="宋体" w:cs="仿宋"/>
          <w:snapToGrid w:val="0"/>
          <w:sz w:val="21"/>
          <w:szCs w:val="21"/>
        </w:rPr>
        <w:t>1.4 投标人资格要求</w:t>
      </w:r>
      <w:bookmarkEnd w:id="90"/>
      <w:bookmarkEnd w:id="91"/>
      <w:bookmarkEnd w:id="92"/>
      <w:bookmarkEnd w:id="93"/>
      <w:bookmarkEnd w:id="94"/>
      <w:bookmarkEnd w:id="95"/>
      <w:bookmarkEnd w:id="96"/>
    </w:p>
    <w:p>
      <w:pPr>
        <w:autoSpaceDE w:val="0"/>
        <w:autoSpaceDN w:val="0"/>
        <w:adjustRightInd w:val="0"/>
        <w:snapToGrid w:val="0"/>
        <w:spacing w:line="400" w:lineRule="exact"/>
        <w:ind w:firstLine="359" w:firstLineChars="171"/>
        <w:jc w:val="left"/>
        <w:rPr>
          <w:rFonts w:ascii="宋体" w:cs="仿宋"/>
          <w:snapToGrid w:val="0"/>
          <w:kern w:val="0"/>
          <w:szCs w:val="21"/>
        </w:rPr>
      </w:pPr>
      <w:r>
        <w:rPr>
          <w:rFonts w:ascii="宋体" w:cs="仿宋"/>
          <w:snapToGrid w:val="0"/>
          <w:kern w:val="0"/>
          <w:szCs w:val="21"/>
        </w:rPr>
        <w:t xml:space="preserve">1.4.1 </w:t>
      </w:r>
      <w:r>
        <w:rPr>
          <w:rFonts w:hint="eastAsia" w:ascii="宋体" w:cs="仿宋"/>
          <w:snapToGrid w:val="0"/>
          <w:kern w:val="0"/>
          <w:szCs w:val="21"/>
        </w:rPr>
        <w:t>投标人应具备承担本工程施工的资质条件、能力，见投标人须知前附表。</w:t>
      </w:r>
    </w:p>
    <w:p>
      <w:pPr>
        <w:autoSpaceDE w:val="0"/>
        <w:autoSpaceDN w:val="0"/>
        <w:adjustRightInd w:val="0"/>
        <w:snapToGrid w:val="0"/>
        <w:spacing w:line="400" w:lineRule="exact"/>
        <w:ind w:firstLine="359" w:firstLineChars="171"/>
        <w:jc w:val="left"/>
        <w:rPr>
          <w:rFonts w:ascii="宋体" w:cs="仿宋"/>
          <w:snapToGrid w:val="0"/>
          <w:kern w:val="0"/>
          <w:szCs w:val="21"/>
        </w:rPr>
      </w:pPr>
      <w:r>
        <w:rPr>
          <w:rFonts w:ascii="宋体" w:cs="仿宋"/>
          <w:snapToGrid w:val="0"/>
          <w:kern w:val="0"/>
          <w:szCs w:val="21"/>
        </w:rPr>
        <w:t xml:space="preserve">1.4.2  </w:t>
      </w:r>
      <w:r>
        <w:rPr>
          <w:rFonts w:hint="eastAsia" w:ascii="宋体" w:cs="仿宋"/>
          <w:snapToGrid w:val="0"/>
          <w:kern w:val="0"/>
          <w:szCs w:val="21"/>
        </w:rPr>
        <w:t>本工程不接受联合体投标。</w:t>
      </w:r>
    </w:p>
    <w:p>
      <w:pPr>
        <w:autoSpaceDE w:val="0"/>
        <w:autoSpaceDN w:val="0"/>
        <w:adjustRightInd w:val="0"/>
        <w:snapToGrid w:val="0"/>
        <w:spacing w:line="400" w:lineRule="exact"/>
        <w:ind w:firstLine="359" w:firstLineChars="171"/>
        <w:jc w:val="left"/>
        <w:rPr>
          <w:rFonts w:ascii="宋体" w:cs="仿宋"/>
          <w:snapToGrid w:val="0"/>
          <w:kern w:val="0"/>
          <w:szCs w:val="21"/>
        </w:rPr>
      </w:pPr>
      <w:r>
        <w:rPr>
          <w:rFonts w:ascii="宋体" w:cs="仿宋"/>
          <w:snapToGrid w:val="0"/>
          <w:kern w:val="0"/>
          <w:szCs w:val="21"/>
        </w:rPr>
        <w:t xml:space="preserve">1.4.3  </w:t>
      </w:r>
      <w:r>
        <w:rPr>
          <w:rFonts w:hint="eastAsia" w:ascii="宋体" w:cs="仿宋"/>
          <w:snapToGrid w:val="0"/>
          <w:kern w:val="0"/>
          <w:szCs w:val="21"/>
        </w:rPr>
        <w:t>投标人不得存在下列情形之一：</w:t>
      </w:r>
    </w:p>
    <w:p>
      <w:pPr>
        <w:autoSpaceDE w:val="0"/>
        <w:autoSpaceDN w:val="0"/>
        <w:adjustRightInd w:val="0"/>
        <w:snapToGrid w:val="0"/>
        <w:spacing w:line="400" w:lineRule="exact"/>
        <w:ind w:firstLine="420" w:firstLineChars="200"/>
        <w:jc w:val="left"/>
        <w:rPr>
          <w:rFonts w:ascii="宋体" w:cs="仿宋"/>
          <w:snapToGrid w:val="0"/>
          <w:kern w:val="0"/>
          <w:szCs w:val="21"/>
        </w:rPr>
      </w:pPr>
      <w:bookmarkStart w:id="97" w:name="_Toc296674643"/>
      <w:bookmarkStart w:id="98" w:name="_Toc322559589"/>
      <w:bookmarkStart w:id="99" w:name="_Toc322559165"/>
      <w:bookmarkStart w:id="100" w:name="_Toc298010255"/>
      <w:bookmarkStart w:id="101" w:name="_Toc325910560"/>
      <w:bookmarkStart w:id="102" w:name="_Toc200513132"/>
      <w:r>
        <w:rPr>
          <w:rFonts w:hint="eastAsia" w:ascii="宋体" w:cs="仿宋"/>
          <w:snapToGrid w:val="0"/>
          <w:kern w:val="0"/>
          <w:szCs w:val="21"/>
        </w:rPr>
        <w:t>（</w:t>
      </w:r>
      <w:r>
        <w:rPr>
          <w:rFonts w:ascii="宋体" w:cs="仿宋"/>
          <w:snapToGrid w:val="0"/>
          <w:kern w:val="0"/>
          <w:szCs w:val="21"/>
        </w:rPr>
        <w:t>1</w:t>
      </w:r>
      <w:r>
        <w:rPr>
          <w:rFonts w:hint="eastAsia" w:ascii="宋体" w:cs="仿宋"/>
          <w:snapToGrid w:val="0"/>
          <w:kern w:val="0"/>
          <w:szCs w:val="21"/>
        </w:rPr>
        <w:t>）与招标人存在利害关系可能影响比选公正性的法人、其他组织或者个人；</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w:t>
      </w:r>
      <w:r>
        <w:rPr>
          <w:rFonts w:ascii="宋体" w:cs="仿宋"/>
          <w:snapToGrid w:val="0"/>
          <w:kern w:val="0"/>
          <w:szCs w:val="21"/>
        </w:rPr>
        <w:t>2</w:t>
      </w:r>
      <w:r>
        <w:rPr>
          <w:rFonts w:hint="eastAsia" w:ascii="宋体" w:cs="仿宋"/>
          <w:snapToGrid w:val="0"/>
          <w:kern w:val="0"/>
          <w:szCs w:val="21"/>
        </w:rPr>
        <w:t>）为本标段前期准备提供设计或咨询服务的，但设计施工总承包的除外；</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w:t>
      </w:r>
      <w:r>
        <w:rPr>
          <w:rFonts w:ascii="宋体" w:cs="仿宋"/>
          <w:snapToGrid w:val="0"/>
          <w:kern w:val="0"/>
          <w:szCs w:val="21"/>
        </w:rPr>
        <w:t>3</w:t>
      </w:r>
      <w:r>
        <w:rPr>
          <w:rFonts w:hint="eastAsia" w:ascii="宋体" w:cs="仿宋"/>
          <w:snapToGrid w:val="0"/>
          <w:kern w:val="0"/>
          <w:szCs w:val="21"/>
        </w:rPr>
        <w:t>）为本标段的监理人；</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w:t>
      </w:r>
      <w:r>
        <w:rPr>
          <w:rFonts w:ascii="宋体" w:cs="仿宋"/>
          <w:snapToGrid w:val="0"/>
          <w:kern w:val="0"/>
          <w:szCs w:val="21"/>
        </w:rPr>
        <w:t>4</w:t>
      </w:r>
      <w:r>
        <w:rPr>
          <w:rFonts w:hint="eastAsia" w:ascii="宋体" w:cs="仿宋"/>
          <w:snapToGrid w:val="0"/>
          <w:kern w:val="0"/>
          <w:szCs w:val="21"/>
        </w:rPr>
        <w:t>）为本标段的代建人；</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w:t>
      </w:r>
      <w:r>
        <w:rPr>
          <w:rFonts w:ascii="宋体" w:cs="仿宋"/>
          <w:snapToGrid w:val="0"/>
          <w:kern w:val="0"/>
          <w:szCs w:val="21"/>
        </w:rPr>
        <w:t>5</w:t>
      </w:r>
      <w:r>
        <w:rPr>
          <w:rFonts w:hint="eastAsia" w:ascii="宋体" w:cs="仿宋"/>
          <w:snapToGrid w:val="0"/>
          <w:kern w:val="0"/>
          <w:szCs w:val="21"/>
        </w:rPr>
        <w:t>）为本标段提供比选代理服务的；</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w:t>
      </w:r>
      <w:r>
        <w:rPr>
          <w:rFonts w:ascii="宋体" w:cs="仿宋"/>
          <w:snapToGrid w:val="0"/>
          <w:kern w:val="0"/>
          <w:szCs w:val="21"/>
        </w:rPr>
        <w:t>6</w:t>
      </w:r>
      <w:r>
        <w:rPr>
          <w:rFonts w:hint="eastAsia" w:ascii="宋体" w:cs="仿宋"/>
          <w:snapToGrid w:val="0"/>
          <w:kern w:val="0"/>
          <w:szCs w:val="21"/>
        </w:rPr>
        <w:t>）与本标段的监理人或代建人或招标代理机构同为一个法定代表人的；</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w:t>
      </w:r>
      <w:r>
        <w:rPr>
          <w:rFonts w:ascii="宋体" w:cs="仿宋"/>
          <w:snapToGrid w:val="0"/>
          <w:kern w:val="0"/>
          <w:szCs w:val="21"/>
        </w:rPr>
        <w:t>7</w:t>
      </w:r>
      <w:r>
        <w:rPr>
          <w:rFonts w:hint="eastAsia" w:ascii="宋体" w:cs="仿宋"/>
          <w:snapToGrid w:val="0"/>
          <w:kern w:val="0"/>
          <w:szCs w:val="21"/>
        </w:rPr>
        <w:t>）与本标段的监理人或代建人或招标代理机构相互控股或参股的；</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w:t>
      </w:r>
      <w:r>
        <w:rPr>
          <w:rFonts w:ascii="宋体" w:cs="仿宋"/>
          <w:snapToGrid w:val="0"/>
          <w:kern w:val="0"/>
          <w:szCs w:val="21"/>
        </w:rPr>
        <w:t>8</w:t>
      </w:r>
      <w:r>
        <w:rPr>
          <w:rFonts w:hint="eastAsia" w:ascii="宋体" w:cs="仿宋"/>
          <w:snapToGrid w:val="0"/>
          <w:kern w:val="0"/>
          <w:szCs w:val="21"/>
        </w:rPr>
        <w:t>）与本标段的监理人或代建人或招标代理机构相互任职或工作的；</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w:t>
      </w:r>
      <w:r>
        <w:rPr>
          <w:rFonts w:ascii="宋体" w:cs="仿宋"/>
          <w:snapToGrid w:val="0"/>
          <w:kern w:val="0"/>
          <w:szCs w:val="21"/>
        </w:rPr>
        <w:t>9</w:t>
      </w:r>
      <w:r>
        <w:rPr>
          <w:rFonts w:hint="eastAsia" w:ascii="宋体" w:cs="仿宋"/>
          <w:snapToGrid w:val="0"/>
          <w:kern w:val="0"/>
          <w:szCs w:val="21"/>
        </w:rPr>
        <w:t>）被责令停业的；</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w:t>
      </w:r>
      <w:r>
        <w:rPr>
          <w:rFonts w:ascii="宋体" w:cs="仿宋"/>
          <w:snapToGrid w:val="0"/>
          <w:kern w:val="0"/>
          <w:szCs w:val="21"/>
        </w:rPr>
        <w:t>10</w:t>
      </w:r>
      <w:r>
        <w:rPr>
          <w:rFonts w:hint="eastAsia" w:ascii="宋体" w:cs="仿宋"/>
          <w:snapToGrid w:val="0"/>
          <w:kern w:val="0"/>
          <w:szCs w:val="21"/>
        </w:rPr>
        <w:t>）被暂停或取消投标资格的；</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w:t>
      </w:r>
      <w:r>
        <w:rPr>
          <w:rFonts w:ascii="宋体" w:cs="仿宋"/>
          <w:snapToGrid w:val="0"/>
          <w:kern w:val="0"/>
          <w:szCs w:val="21"/>
        </w:rPr>
        <w:t>11</w:t>
      </w:r>
      <w:r>
        <w:rPr>
          <w:rFonts w:hint="eastAsia" w:ascii="宋体" w:cs="仿宋"/>
          <w:snapToGrid w:val="0"/>
          <w:kern w:val="0"/>
          <w:szCs w:val="21"/>
        </w:rPr>
        <w:t>）财产被接管或冻结的；</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w:t>
      </w:r>
      <w:r>
        <w:rPr>
          <w:rFonts w:ascii="宋体" w:cs="仿宋"/>
          <w:snapToGrid w:val="0"/>
          <w:kern w:val="0"/>
          <w:szCs w:val="21"/>
        </w:rPr>
        <w:t>12</w:t>
      </w:r>
      <w:r>
        <w:rPr>
          <w:rFonts w:hint="eastAsia" w:ascii="宋体" w:cs="仿宋"/>
          <w:snapToGrid w:val="0"/>
          <w:kern w:val="0"/>
          <w:szCs w:val="21"/>
        </w:rPr>
        <w:t>）单位负责人为同一人或者存在控股、管理关系的不同单位，不得在同一标段中同时投标。</w:t>
      </w:r>
    </w:p>
    <w:p>
      <w:pPr>
        <w:pStyle w:val="6"/>
        <w:snapToGrid w:val="0"/>
        <w:spacing w:before="0" w:after="0" w:line="400" w:lineRule="exact"/>
        <w:rPr>
          <w:rFonts w:ascii="宋体" w:cs="仿宋"/>
          <w:snapToGrid w:val="0"/>
          <w:sz w:val="21"/>
          <w:szCs w:val="21"/>
        </w:rPr>
      </w:pPr>
      <w:bookmarkStart w:id="103" w:name="_Toc2764"/>
      <w:r>
        <w:rPr>
          <w:rFonts w:hint="eastAsia" w:ascii="宋体" w:cs="仿宋"/>
          <w:snapToGrid w:val="0"/>
          <w:sz w:val="21"/>
          <w:szCs w:val="21"/>
        </w:rPr>
        <w:t>1.5 费用承担</w:t>
      </w:r>
      <w:bookmarkEnd w:id="97"/>
      <w:bookmarkEnd w:id="98"/>
      <w:bookmarkEnd w:id="99"/>
      <w:bookmarkEnd w:id="100"/>
      <w:bookmarkEnd w:id="101"/>
      <w:bookmarkEnd w:id="102"/>
      <w:bookmarkEnd w:id="103"/>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投标人准备和参加投标活动发生的费用自理。</w:t>
      </w:r>
    </w:p>
    <w:p>
      <w:pPr>
        <w:pStyle w:val="6"/>
        <w:snapToGrid w:val="0"/>
        <w:spacing w:before="0" w:after="0" w:line="400" w:lineRule="exact"/>
        <w:rPr>
          <w:rFonts w:ascii="宋体" w:cs="仿宋"/>
          <w:snapToGrid w:val="0"/>
          <w:sz w:val="21"/>
          <w:szCs w:val="21"/>
        </w:rPr>
      </w:pPr>
      <w:bookmarkStart w:id="104" w:name="_Toc296674644"/>
      <w:bookmarkStart w:id="105" w:name="_Toc298010256"/>
      <w:bookmarkStart w:id="106" w:name="_Toc325910561"/>
      <w:bookmarkStart w:id="107" w:name="_Toc200513133"/>
      <w:bookmarkStart w:id="108" w:name="_Toc322559166"/>
      <w:bookmarkStart w:id="109" w:name="_Toc24666"/>
      <w:bookmarkStart w:id="110" w:name="_Toc322559590"/>
      <w:r>
        <w:rPr>
          <w:rFonts w:hint="eastAsia" w:ascii="宋体" w:cs="仿宋"/>
          <w:snapToGrid w:val="0"/>
          <w:sz w:val="21"/>
          <w:szCs w:val="21"/>
        </w:rPr>
        <w:t>1.6 保密</w:t>
      </w:r>
      <w:bookmarkEnd w:id="104"/>
      <w:bookmarkEnd w:id="105"/>
      <w:bookmarkEnd w:id="106"/>
      <w:bookmarkEnd w:id="107"/>
      <w:bookmarkEnd w:id="108"/>
      <w:bookmarkEnd w:id="109"/>
      <w:bookmarkEnd w:id="110"/>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参与竞争性比选投标活动的各方应对竞争性比选文件和投标文件中的商业和技术等秘密保密，违者应 对由此造成的后果承担法律责任。</w:t>
      </w:r>
    </w:p>
    <w:p>
      <w:pPr>
        <w:pStyle w:val="6"/>
        <w:snapToGrid w:val="0"/>
        <w:spacing w:before="0" w:after="0" w:line="400" w:lineRule="exact"/>
        <w:rPr>
          <w:rFonts w:ascii="宋体" w:cs="仿宋"/>
          <w:snapToGrid w:val="0"/>
          <w:sz w:val="21"/>
          <w:szCs w:val="21"/>
        </w:rPr>
      </w:pPr>
      <w:bookmarkStart w:id="111" w:name="_Toc296674645"/>
      <w:bookmarkStart w:id="112" w:name="_Toc325910562"/>
      <w:bookmarkStart w:id="113" w:name="_Toc298010257"/>
      <w:bookmarkStart w:id="114" w:name="_Toc12816"/>
      <w:bookmarkStart w:id="115" w:name="_Toc322559167"/>
      <w:bookmarkStart w:id="116" w:name="_Toc322559591"/>
      <w:bookmarkStart w:id="117" w:name="_Toc200513134"/>
      <w:r>
        <w:rPr>
          <w:rFonts w:hint="eastAsia" w:ascii="宋体" w:cs="仿宋"/>
          <w:snapToGrid w:val="0"/>
          <w:sz w:val="21"/>
          <w:szCs w:val="21"/>
        </w:rPr>
        <w:t>1.7 语言文字</w:t>
      </w:r>
      <w:bookmarkEnd w:id="111"/>
      <w:bookmarkEnd w:id="112"/>
      <w:bookmarkEnd w:id="113"/>
      <w:bookmarkEnd w:id="114"/>
      <w:bookmarkEnd w:id="115"/>
      <w:bookmarkEnd w:id="116"/>
      <w:bookmarkEnd w:id="117"/>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除专用术语外，与竞争性比选投标有关的语言均使用中文。必要时专用术语应附有中文注释。</w:t>
      </w:r>
    </w:p>
    <w:p>
      <w:pPr>
        <w:pStyle w:val="6"/>
        <w:snapToGrid w:val="0"/>
        <w:spacing w:before="0" w:after="0" w:line="400" w:lineRule="exact"/>
        <w:rPr>
          <w:rFonts w:ascii="宋体" w:cs="仿宋"/>
          <w:snapToGrid w:val="0"/>
          <w:sz w:val="21"/>
          <w:szCs w:val="21"/>
        </w:rPr>
      </w:pPr>
      <w:bookmarkStart w:id="118" w:name="_Toc200513135"/>
      <w:bookmarkStart w:id="119" w:name="_Toc5823"/>
      <w:bookmarkStart w:id="120" w:name="_Toc322559592"/>
      <w:bookmarkStart w:id="121" w:name="_Toc296674646"/>
      <w:bookmarkStart w:id="122" w:name="_Toc298010258"/>
      <w:bookmarkStart w:id="123" w:name="_Toc322559168"/>
      <w:bookmarkStart w:id="124" w:name="_Toc325910563"/>
      <w:r>
        <w:rPr>
          <w:rFonts w:hint="eastAsia" w:ascii="宋体" w:cs="仿宋"/>
          <w:snapToGrid w:val="0"/>
          <w:sz w:val="21"/>
          <w:szCs w:val="21"/>
        </w:rPr>
        <w:t>1.8 计量单位</w:t>
      </w:r>
      <w:bookmarkEnd w:id="118"/>
      <w:bookmarkEnd w:id="119"/>
      <w:bookmarkEnd w:id="120"/>
      <w:bookmarkEnd w:id="121"/>
      <w:bookmarkEnd w:id="122"/>
      <w:bookmarkEnd w:id="123"/>
      <w:bookmarkEnd w:id="124"/>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所有计量均采用中华人民共和国法定计量单位。</w:t>
      </w:r>
    </w:p>
    <w:p>
      <w:pPr>
        <w:pStyle w:val="6"/>
        <w:snapToGrid w:val="0"/>
        <w:spacing w:before="0" w:after="0" w:line="400" w:lineRule="exact"/>
        <w:rPr>
          <w:rFonts w:ascii="宋体" w:cs="仿宋"/>
          <w:snapToGrid w:val="0"/>
          <w:sz w:val="21"/>
          <w:szCs w:val="21"/>
        </w:rPr>
      </w:pPr>
      <w:bookmarkStart w:id="125" w:name="_Toc296674647"/>
      <w:bookmarkStart w:id="126" w:name="_Toc322559593"/>
      <w:bookmarkStart w:id="127" w:name="_Toc298010259"/>
      <w:bookmarkStart w:id="128" w:name="_Toc322559169"/>
      <w:bookmarkStart w:id="129" w:name="_Toc10350"/>
      <w:bookmarkStart w:id="130" w:name="_Toc325910564"/>
      <w:bookmarkStart w:id="131" w:name="_Toc200513136"/>
      <w:r>
        <w:rPr>
          <w:rFonts w:hint="eastAsia" w:ascii="宋体" w:cs="仿宋"/>
          <w:snapToGrid w:val="0"/>
          <w:sz w:val="21"/>
          <w:szCs w:val="21"/>
        </w:rPr>
        <w:t>1.9 踏勘现场</w:t>
      </w:r>
      <w:bookmarkEnd w:id="125"/>
      <w:bookmarkEnd w:id="126"/>
      <w:bookmarkEnd w:id="127"/>
      <w:bookmarkEnd w:id="128"/>
      <w:bookmarkEnd w:id="129"/>
      <w:bookmarkEnd w:id="130"/>
      <w:bookmarkEnd w:id="131"/>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不组织</w:t>
      </w:r>
    </w:p>
    <w:p>
      <w:pPr>
        <w:pStyle w:val="6"/>
        <w:snapToGrid w:val="0"/>
        <w:spacing w:before="0" w:after="0" w:line="400" w:lineRule="exact"/>
        <w:rPr>
          <w:rFonts w:ascii="宋体" w:cs="仿宋"/>
          <w:snapToGrid w:val="0"/>
          <w:sz w:val="21"/>
          <w:szCs w:val="21"/>
        </w:rPr>
      </w:pPr>
      <w:bookmarkStart w:id="132" w:name="_Toc296674648"/>
      <w:bookmarkStart w:id="133" w:name="_Toc322559170"/>
      <w:bookmarkStart w:id="134" w:name="_Toc325910565"/>
      <w:bookmarkStart w:id="135" w:name="_Toc322559594"/>
      <w:bookmarkStart w:id="136" w:name="_Toc3230"/>
      <w:bookmarkStart w:id="137" w:name="_Toc298010260"/>
      <w:bookmarkStart w:id="138" w:name="_Toc200513137"/>
      <w:r>
        <w:rPr>
          <w:rFonts w:hint="eastAsia" w:ascii="宋体" w:cs="仿宋"/>
          <w:snapToGrid w:val="0"/>
          <w:sz w:val="21"/>
          <w:szCs w:val="21"/>
        </w:rPr>
        <w:t>1.10 投标预备会</w:t>
      </w:r>
      <w:bookmarkEnd w:id="132"/>
      <w:bookmarkEnd w:id="133"/>
      <w:bookmarkEnd w:id="134"/>
      <w:bookmarkEnd w:id="135"/>
      <w:bookmarkEnd w:id="136"/>
      <w:bookmarkEnd w:id="137"/>
      <w:bookmarkEnd w:id="138"/>
    </w:p>
    <w:p>
      <w:pPr>
        <w:autoSpaceDE w:val="0"/>
        <w:autoSpaceDN w:val="0"/>
        <w:adjustRightInd w:val="0"/>
        <w:snapToGrid w:val="0"/>
        <w:spacing w:line="400" w:lineRule="exact"/>
        <w:ind w:firstLine="420" w:firstLineChars="200"/>
        <w:jc w:val="left"/>
        <w:rPr>
          <w:rFonts w:ascii="宋体" w:cs="仿宋"/>
          <w:snapToGrid w:val="0"/>
          <w:kern w:val="0"/>
          <w:szCs w:val="21"/>
        </w:rPr>
      </w:pPr>
      <w:bookmarkStart w:id="139" w:name="_Toc322559595"/>
      <w:bookmarkStart w:id="140" w:name="_Toc322559171"/>
      <w:bookmarkStart w:id="141" w:name="_Toc298010261"/>
      <w:bookmarkStart w:id="142" w:name="_Toc296674649"/>
      <w:bookmarkStart w:id="143" w:name="_Toc200513138"/>
      <w:r>
        <w:rPr>
          <w:rFonts w:hint="eastAsia" w:ascii="宋体" w:cs="仿宋"/>
          <w:snapToGrid w:val="0"/>
          <w:kern w:val="0"/>
          <w:szCs w:val="21"/>
        </w:rPr>
        <w:t>不召开</w:t>
      </w:r>
      <w:bookmarkEnd w:id="139"/>
      <w:bookmarkEnd w:id="140"/>
    </w:p>
    <w:p>
      <w:pPr>
        <w:pStyle w:val="6"/>
        <w:snapToGrid w:val="0"/>
        <w:spacing w:before="0" w:after="0" w:line="400" w:lineRule="exact"/>
        <w:rPr>
          <w:rFonts w:ascii="宋体" w:cs="仿宋"/>
          <w:snapToGrid w:val="0"/>
          <w:sz w:val="21"/>
          <w:szCs w:val="21"/>
        </w:rPr>
      </w:pPr>
      <w:bookmarkStart w:id="144" w:name="_Toc322559172"/>
      <w:bookmarkStart w:id="145" w:name="_Toc19206"/>
      <w:bookmarkStart w:id="146" w:name="_Toc325910566"/>
      <w:bookmarkStart w:id="147" w:name="_Toc322559596"/>
      <w:r>
        <w:rPr>
          <w:rFonts w:hint="eastAsia" w:ascii="宋体" w:cs="仿宋"/>
          <w:snapToGrid w:val="0"/>
          <w:sz w:val="21"/>
          <w:szCs w:val="21"/>
        </w:rPr>
        <w:t>1.11 分包</w:t>
      </w:r>
      <w:bookmarkEnd w:id="141"/>
      <w:bookmarkEnd w:id="142"/>
      <w:bookmarkEnd w:id="143"/>
      <w:bookmarkEnd w:id="144"/>
      <w:bookmarkEnd w:id="145"/>
      <w:bookmarkEnd w:id="146"/>
      <w:bookmarkEnd w:id="147"/>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不允许</w:t>
      </w:r>
    </w:p>
    <w:p>
      <w:pPr>
        <w:pStyle w:val="6"/>
        <w:snapToGrid w:val="0"/>
        <w:spacing w:before="0" w:after="0" w:line="400" w:lineRule="exact"/>
        <w:rPr>
          <w:rFonts w:ascii="宋体" w:cs="仿宋"/>
          <w:snapToGrid w:val="0"/>
          <w:sz w:val="21"/>
          <w:szCs w:val="21"/>
        </w:rPr>
      </w:pPr>
      <w:bookmarkStart w:id="148" w:name="_Toc325910567"/>
      <w:bookmarkStart w:id="149" w:name="_Toc322559173"/>
      <w:bookmarkStart w:id="150" w:name="_Toc27355"/>
      <w:bookmarkStart w:id="151" w:name="_Toc322559597"/>
      <w:bookmarkStart w:id="152" w:name="_Toc200513139"/>
      <w:bookmarkStart w:id="153" w:name="_Toc298010262"/>
      <w:bookmarkStart w:id="154" w:name="_Toc296674650"/>
      <w:r>
        <w:rPr>
          <w:rFonts w:hint="eastAsia" w:ascii="宋体" w:cs="仿宋"/>
          <w:snapToGrid w:val="0"/>
          <w:sz w:val="21"/>
          <w:szCs w:val="21"/>
        </w:rPr>
        <w:t>1.12 偏离</w:t>
      </w:r>
      <w:bookmarkEnd w:id="148"/>
      <w:bookmarkEnd w:id="149"/>
      <w:bookmarkEnd w:id="150"/>
      <w:bookmarkEnd w:id="151"/>
      <w:bookmarkEnd w:id="152"/>
      <w:bookmarkEnd w:id="153"/>
      <w:bookmarkEnd w:id="154"/>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不偏离</w:t>
      </w:r>
      <w:bookmarkStart w:id="155" w:name="_Toc325910568"/>
      <w:bookmarkStart w:id="156" w:name="_Toc26211"/>
      <w:bookmarkStart w:id="157" w:name="_Toc322559598"/>
      <w:bookmarkStart w:id="158" w:name="_Toc298010263"/>
      <w:bookmarkStart w:id="159" w:name="_Toc200513140"/>
    </w:p>
    <w:p>
      <w:pPr>
        <w:autoSpaceDE w:val="0"/>
        <w:autoSpaceDN w:val="0"/>
        <w:adjustRightInd w:val="0"/>
        <w:snapToGrid w:val="0"/>
        <w:spacing w:line="400" w:lineRule="exact"/>
        <w:jc w:val="left"/>
        <w:rPr>
          <w:rFonts w:ascii="宋体" w:cs="仿宋"/>
          <w:b/>
          <w:bCs/>
          <w:snapToGrid w:val="0"/>
          <w:sz w:val="24"/>
          <w:szCs w:val="24"/>
        </w:rPr>
      </w:pPr>
      <w:r>
        <w:rPr>
          <w:rFonts w:ascii="宋体" w:cs="仿宋"/>
          <w:b/>
          <w:bCs/>
          <w:snapToGrid w:val="0"/>
          <w:sz w:val="24"/>
          <w:szCs w:val="24"/>
        </w:rPr>
        <w:t xml:space="preserve">2. </w:t>
      </w:r>
      <w:r>
        <w:rPr>
          <w:rFonts w:hint="eastAsia" w:ascii="宋体" w:cs="仿宋"/>
          <w:b/>
          <w:bCs/>
          <w:snapToGrid w:val="0"/>
          <w:sz w:val="24"/>
          <w:szCs w:val="24"/>
        </w:rPr>
        <w:t>竞争性文件</w:t>
      </w:r>
      <w:bookmarkEnd w:id="155"/>
      <w:bookmarkEnd w:id="156"/>
      <w:bookmarkEnd w:id="157"/>
      <w:bookmarkEnd w:id="158"/>
      <w:bookmarkEnd w:id="159"/>
    </w:p>
    <w:p>
      <w:pPr>
        <w:pStyle w:val="6"/>
        <w:snapToGrid w:val="0"/>
        <w:spacing w:before="0" w:after="0" w:line="400" w:lineRule="exact"/>
        <w:rPr>
          <w:rFonts w:ascii="宋体" w:cs="仿宋"/>
          <w:snapToGrid w:val="0"/>
          <w:sz w:val="21"/>
          <w:szCs w:val="21"/>
        </w:rPr>
      </w:pPr>
      <w:bookmarkStart w:id="160" w:name="_Toc325910569"/>
      <w:bookmarkStart w:id="161" w:name="_Toc24100"/>
      <w:bookmarkStart w:id="162" w:name="_Toc322559175"/>
      <w:bookmarkStart w:id="163" w:name="_Toc322559599"/>
      <w:bookmarkStart w:id="164" w:name="_Toc298010264"/>
      <w:bookmarkStart w:id="165" w:name="_Toc296674652"/>
      <w:bookmarkStart w:id="166" w:name="_Toc200513141"/>
      <w:r>
        <w:rPr>
          <w:rFonts w:hint="eastAsia" w:ascii="宋体" w:cs="仿宋"/>
          <w:snapToGrid w:val="0"/>
          <w:sz w:val="21"/>
          <w:szCs w:val="21"/>
        </w:rPr>
        <w:t>2.1 竞争性比选文件的组成</w:t>
      </w:r>
      <w:bookmarkEnd w:id="160"/>
      <w:bookmarkEnd w:id="161"/>
      <w:bookmarkEnd w:id="162"/>
      <w:bookmarkEnd w:id="163"/>
      <w:bookmarkEnd w:id="164"/>
      <w:bookmarkEnd w:id="165"/>
      <w:bookmarkEnd w:id="166"/>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本竞争性比选文件包括：</w:t>
      </w:r>
    </w:p>
    <w:p>
      <w:pPr>
        <w:autoSpaceDE w:val="0"/>
        <w:autoSpaceDN w:val="0"/>
        <w:adjustRightInd w:val="0"/>
        <w:snapToGrid w:val="0"/>
        <w:spacing w:line="400" w:lineRule="exact"/>
        <w:ind w:firstLine="420"/>
        <w:jc w:val="left"/>
        <w:rPr>
          <w:rFonts w:ascii="宋体" w:cs="仿宋"/>
          <w:snapToGrid w:val="0"/>
          <w:kern w:val="0"/>
          <w:szCs w:val="21"/>
        </w:rPr>
      </w:pPr>
      <w:r>
        <w:rPr>
          <w:rFonts w:hint="eastAsia" w:ascii="宋体" w:cs="仿宋"/>
          <w:snapToGrid w:val="0"/>
          <w:kern w:val="0"/>
          <w:szCs w:val="21"/>
        </w:rPr>
        <w:t>（</w:t>
      </w:r>
      <w:r>
        <w:rPr>
          <w:rFonts w:ascii="宋体" w:cs="仿宋"/>
          <w:snapToGrid w:val="0"/>
          <w:kern w:val="0"/>
          <w:szCs w:val="21"/>
        </w:rPr>
        <w:t>1</w:t>
      </w:r>
      <w:r>
        <w:rPr>
          <w:rFonts w:hint="eastAsia" w:ascii="宋体" w:cs="仿宋"/>
          <w:snapToGrid w:val="0"/>
          <w:kern w:val="0"/>
          <w:szCs w:val="21"/>
        </w:rPr>
        <w:t>）竞争性比选公告；</w:t>
      </w:r>
    </w:p>
    <w:p>
      <w:pPr>
        <w:autoSpaceDE w:val="0"/>
        <w:autoSpaceDN w:val="0"/>
        <w:adjustRightInd w:val="0"/>
        <w:snapToGrid w:val="0"/>
        <w:spacing w:line="400" w:lineRule="exact"/>
        <w:ind w:firstLine="420"/>
        <w:jc w:val="left"/>
        <w:rPr>
          <w:rFonts w:ascii="宋体" w:cs="仿宋"/>
          <w:snapToGrid w:val="0"/>
          <w:kern w:val="0"/>
          <w:szCs w:val="21"/>
        </w:rPr>
      </w:pPr>
      <w:r>
        <w:rPr>
          <w:rFonts w:hint="eastAsia" w:ascii="宋体" w:cs="仿宋"/>
          <w:snapToGrid w:val="0"/>
          <w:kern w:val="0"/>
          <w:szCs w:val="21"/>
        </w:rPr>
        <w:t>（</w:t>
      </w:r>
      <w:r>
        <w:rPr>
          <w:rFonts w:ascii="宋体" w:cs="仿宋"/>
          <w:snapToGrid w:val="0"/>
          <w:kern w:val="0"/>
          <w:szCs w:val="21"/>
        </w:rPr>
        <w:t>2</w:t>
      </w:r>
      <w:r>
        <w:rPr>
          <w:rFonts w:hint="eastAsia" w:ascii="宋体" w:cs="仿宋"/>
          <w:snapToGrid w:val="0"/>
          <w:kern w:val="0"/>
          <w:szCs w:val="21"/>
        </w:rPr>
        <w:t>）投标人须知；</w:t>
      </w:r>
    </w:p>
    <w:p>
      <w:pPr>
        <w:autoSpaceDE w:val="0"/>
        <w:autoSpaceDN w:val="0"/>
        <w:adjustRightInd w:val="0"/>
        <w:snapToGrid w:val="0"/>
        <w:spacing w:line="400" w:lineRule="exact"/>
        <w:ind w:firstLine="420"/>
        <w:jc w:val="left"/>
        <w:rPr>
          <w:rFonts w:ascii="宋体" w:cs="仿宋"/>
          <w:snapToGrid w:val="0"/>
          <w:kern w:val="0"/>
          <w:szCs w:val="21"/>
        </w:rPr>
      </w:pPr>
      <w:r>
        <w:rPr>
          <w:rFonts w:hint="eastAsia" w:ascii="宋体" w:cs="仿宋"/>
          <w:snapToGrid w:val="0"/>
          <w:kern w:val="0"/>
          <w:szCs w:val="21"/>
        </w:rPr>
        <w:t>（</w:t>
      </w:r>
      <w:r>
        <w:rPr>
          <w:rFonts w:ascii="宋体" w:cs="仿宋"/>
          <w:snapToGrid w:val="0"/>
          <w:kern w:val="0"/>
          <w:szCs w:val="21"/>
        </w:rPr>
        <w:t>3</w:t>
      </w:r>
      <w:r>
        <w:rPr>
          <w:rFonts w:hint="eastAsia" w:ascii="宋体" w:cs="仿宋"/>
          <w:snapToGrid w:val="0"/>
          <w:kern w:val="0"/>
          <w:szCs w:val="21"/>
        </w:rPr>
        <w:t>）评标办法；</w:t>
      </w:r>
    </w:p>
    <w:p>
      <w:pPr>
        <w:autoSpaceDE w:val="0"/>
        <w:autoSpaceDN w:val="0"/>
        <w:adjustRightInd w:val="0"/>
        <w:snapToGrid w:val="0"/>
        <w:spacing w:line="400" w:lineRule="exact"/>
        <w:ind w:firstLine="420"/>
        <w:jc w:val="left"/>
        <w:rPr>
          <w:rFonts w:ascii="宋体" w:cs="仿宋"/>
          <w:snapToGrid w:val="0"/>
          <w:kern w:val="0"/>
          <w:szCs w:val="21"/>
        </w:rPr>
      </w:pPr>
      <w:r>
        <w:rPr>
          <w:rFonts w:hint="eastAsia" w:ascii="宋体" w:cs="仿宋"/>
          <w:snapToGrid w:val="0"/>
          <w:kern w:val="0"/>
          <w:szCs w:val="21"/>
        </w:rPr>
        <w:t>（</w:t>
      </w:r>
      <w:r>
        <w:rPr>
          <w:rFonts w:ascii="宋体" w:cs="仿宋"/>
          <w:snapToGrid w:val="0"/>
          <w:kern w:val="0"/>
          <w:szCs w:val="21"/>
        </w:rPr>
        <w:t>4</w:t>
      </w:r>
      <w:r>
        <w:rPr>
          <w:rFonts w:hint="eastAsia" w:ascii="宋体" w:cs="仿宋"/>
          <w:snapToGrid w:val="0"/>
          <w:kern w:val="0"/>
          <w:szCs w:val="21"/>
        </w:rPr>
        <w:t>）合同条款及格式；</w:t>
      </w:r>
    </w:p>
    <w:p>
      <w:pPr>
        <w:autoSpaceDE w:val="0"/>
        <w:autoSpaceDN w:val="0"/>
        <w:adjustRightInd w:val="0"/>
        <w:snapToGrid w:val="0"/>
        <w:spacing w:line="400" w:lineRule="exact"/>
        <w:ind w:firstLine="420"/>
        <w:jc w:val="left"/>
        <w:rPr>
          <w:rFonts w:ascii="宋体" w:cs="仿宋"/>
          <w:snapToGrid w:val="0"/>
          <w:kern w:val="0"/>
          <w:szCs w:val="21"/>
        </w:rPr>
      </w:pPr>
      <w:r>
        <w:rPr>
          <w:rFonts w:hint="eastAsia" w:ascii="宋体" w:cs="仿宋"/>
          <w:snapToGrid w:val="0"/>
          <w:kern w:val="0"/>
          <w:szCs w:val="21"/>
        </w:rPr>
        <w:t>（</w:t>
      </w:r>
      <w:r>
        <w:rPr>
          <w:rFonts w:ascii="宋体" w:cs="仿宋"/>
          <w:snapToGrid w:val="0"/>
          <w:kern w:val="0"/>
          <w:szCs w:val="21"/>
        </w:rPr>
        <w:t>5</w:t>
      </w:r>
      <w:r>
        <w:rPr>
          <w:rFonts w:hint="eastAsia" w:ascii="宋体" w:cs="仿宋"/>
          <w:snapToGrid w:val="0"/>
          <w:kern w:val="0"/>
          <w:szCs w:val="21"/>
        </w:rPr>
        <w:t>）工程量清单；</w:t>
      </w:r>
    </w:p>
    <w:p>
      <w:pPr>
        <w:autoSpaceDE w:val="0"/>
        <w:autoSpaceDN w:val="0"/>
        <w:adjustRightInd w:val="0"/>
        <w:snapToGrid w:val="0"/>
        <w:spacing w:line="400" w:lineRule="exact"/>
        <w:ind w:firstLine="420"/>
        <w:jc w:val="left"/>
        <w:rPr>
          <w:rFonts w:ascii="宋体" w:cs="仿宋"/>
          <w:snapToGrid w:val="0"/>
          <w:kern w:val="0"/>
          <w:szCs w:val="21"/>
        </w:rPr>
      </w:pPr>
      <w:r>
        <w:rPr>
          <w:rFonts w:hint="eastAsia" w:ascii="宋体" w:cs="仿宋"/>
          <w:snapToGrid w:val="0"/>
          <w:kern w:val="0"/>
          <w:szCs w:val="21"/>
        </w:rPr>
        <w:t>（</w:t>
      </w:r>
      <w:r>
        <w:rPr>
          <w:rFonts w:ascii="宋体" w:cs="仿宋"/>
          <w:snapToGrid w:val="0"/>
          <w:kern w:val="0"/>
          <w:szCs w:val="21"/>
        </w:rPr>
        <w:t>6</w:t>
      </w:r>
      <w:r>
        <w:rPr>
          <w:rFonts w:hint="eastAsia" w:ascii="宋体" w:cs="仿宋"/>
          <w:snapToGrid w:val="0"/>
          <w:kern w:val="0"/>
          <w:szCs w:val="21"/>
        </w:rPr>
        <w:t>）技术标准和要求；</w:t>
      </w:r>
    </w:p>
    <w:p>
      <w:pPr>
        <w:autoSpaceDE w:val="0"/>
        <w:autoSpaceDN w:val="0"/>
        <w:adjustRightInd w:val="0"/>
        <w:snapToGrid w:val="0"/>
        <w:spacing w:line="400" w:lineRule="exact"/>
        <w:ind w:firstLine="420"/>
        <w:jc w:val="left"/>
        <w:rPr>
          <w:rFonts w:ascii="宋体" w:cs="仿宋"/>
          <w:snapToGrid w:val="0"/>
          <w:kern w:val="0"/>
          <w:szCs w:val="21"/>
        </w:rPr>
      </w:pPr>
      <w:r>
        <w:rPr>
          <w:rFonts w:hint="eastAsia" w:ascii="宋体" w:cs="仿宋"/>
          <w:snapToGrid w:val="0"/>
          <w:kern w:val="0"/>
          <w:szCs w:val="21"/>
        </w:rPr>
        <w:t>（</w:t>
      </w:r>
      <w:r>
        <w:rPr>
          <w:rFonts w:ascii="宋体" w:cs="仿宋"/>
          <w:snapToGrid w:val="0"/>
          <w:kern w:val="0"/>
          <w:szCs w:val="21"/>
        </w:rPr>
        <w:t>7</w:t>
      </w:r>
      <w:r>
        <w:rPr>
          <w:rFonts w:hint="eastAsia" w:ascii="宋体" w:cs="仿宋"/>
          <w:snapToGrid w:val="0"/>
          <w:kern w:val="0"/>
          <w:szCs w:val="21"/>
        </w:rPr>
        <w:t>）投标文件格式；</w:t>
      </w:r>
    </w:p>
    <w:p>
      <w:pPr>
        <w:autoSpaceDE w:val="0"/>
        <w:autoSpaceDN w:val="0"/>
        <w:adjustRightInd w:val="0"/>
        <w:snapToGrid w:val="0"/>
        <w:spacing w:line="400" w:lineRule="exact"/>
        <w:ind w:firstLine="420"/>
        <w:jc w:val="left"/>
        <w:rPr>
          <w:rFonts w:ascii="宋体" w:cs="仿宋"/>
          <w:snapToGrid w:val="0"/>
          <w:kern w:val="0"/>
          <w:szCs w:val="21"/>
        </w:rPr>
      </w:pPr>
      <w:r>
        <w:rPr>
          <w:rFonts w:hint="eastAsia" w:ascii="宋体" w:cs="仿宋"/>
          <w:snapToGrid w:val="0"/>
          <w:kern w:val="0"/>
          <w:szCs w:val="21"/>
        </w:rPr>
        <w:t>（</w:t>
      </w:r>
      <w:r>
        <w:rPr>
          <w:rFonts w:ascii="宋体" w:cs="仿宋"/>
          <w:snapToGrid w:val="0"/>
          <w:kern w:val="0"/>
          <w:szCs w:val="21"/>
        </w:rPr>
        <w:t>8</w:t>
      </w:r>
      <w:r>
        <w:rPr>
          <w:rFonts w:hint="eastAsia" w:ascii="宋体" w:cs="仿宋"/>
          <w:snapToGrid w:val="0"/>
          <w:kern w:val="0"/>
          <w:szCs w:val="21"/>
        </w:rPr>
        <w:t>）投标人须知前附表规定的其他材料。</w:t>
      </w:r>
    </w:p>
    <w:p>
      <w:pPr>
        <w:autoSpaceDE w:val="0"/>
        <w:autoSpaceDN w:val="0"/>
        <w:adjustRightInd w:val="0"/>
        <w:snapToGrid w:val="0"/>
        <w:spacing w:line="400" w:lineRule="exact"/>
        <w:ind w:firstLine="525" w:firstLineChars="250"/>
        <w:jc w:val="left"/>
        <w:rPr>
          <w:rFonts w:ascii="宋体" w:cs="仿宋"/>
          <w:snapToGrid w:val="0"/>
          <w:kern w:val="0"/>
          <w:szCs w:val="21"/>
        </w:rPr>
      </w:pPr>
      <w:r>
        <w:rPr>
          <w:rFonts w:hint="eastAsia" w:ascii="宋体" w:cs="仿宋"/>
          <w:snapToGrid w:val="0"/>
          <w:kern w:val="0"/>
          <w:szCs w:val="21"/>
        </w:rPr>
        <w:t>根据本章第</w:t>
      </w:r>
      <w:r>
        <w:rPr>
          <w:rFonts w:ascii="宋体" w:cs="仿宋"/>
          <w:snapToGrid w:val="0"/>
          <w:kern w:val="0"/>
          <w:szCs w:val="21"/>
        </w:rPr>
        <w:t>1.10</w:t>
      </w:r>
      <w:r>
        <w:rPr>
          <w:rFonts w:hint="eastAsia" w:ascii="宋体" w:cs="仿宋"/>
          <w:snapToGrid w:val="0"/>
          <w:kern w:val="0"/>
          <w:szCs w:val="21"/>
        </w:rPr>
        <w:t>款、第</w:t>
      </w:r>
      <w:r>
        <w:rPr>
          <w:rFonts w:ascii="宋体" w:cs="仿宋"/>
          <w:snapToGrid w:val="0"/>
          <w:kern w:val="0"/>
          <w:szCs w:val="21"/>
        </w:rPr>
        <w:t>2.2</w:t>
      </w:r>
      <w:r>
        <w:rPr>
          <w:rFonts w:hint="eastAsia" w:ascii="宋体" w:cs="仿宋"/>
          <w:snapToGrid w:val="0"/>
          <w:kern w:val="0"/>
          <w:szCs w:val="21"/>
        </w:rPr>
        <w:t>款和第</w:t>
      </w:r>
      <w:r>
        <w:rPr>
          <w:rFonts w:ascii="宋体" w:cs="仿宋"/>
          <w:snapToGrid w:val="0"/>
          <w:kern w:val="0"/>
          <w:szCs w:val="21"/>
        </w:rPr>
        <w:t>2.3</w:t>
      </w:r>
      <w:r>
        <w:rPr>
          <w:rFonts w:hint="eastAsia" w:ascii="宋体" w:cs="仿宋"/>
          <w:snapToGrid w:val="0"/>
          <w:kern w:val="0"/>
          <w:szCs w:val="21"/>
        </w:rPr>
        <w:t>款对比选文件所作的澄清、修改，构成竞争性比选文件的组成部分。</w:t>
      </w:r>
    </w:p>
    <w:p>
      <w:pPr>
        <w:pStyle w:val="6"/>
        <w:snapToGrid w:val="0"/>
        <w:spacing w:before="0" w:after="0" w:line="400" w:lineRule="exact"/>
        <w:rPr>
          <w:rFonts w:ascii="宋体" w:cs="仿宋"/>
          <w:snapToGrid w:val="0"/>
          <w:sz w:val="21"/>
          <w:szCs w:val="21"/>
        </w:rPr>
      </w:pPr>
      <w:bookmarkStart w:id="167" w:name="_Toc277082568"/>
      <w:bookmarkStart w:id="168" w:name="_Toc224103333"/>
      <w:bookmarkStart w:id="169" w:name="_Toc386029662"/>
      <w:bookmarkStart w:id="170" w:name="_Toc24022"/>
      <w:bookmarkStart w:id="171" w:name="_Toc287620701"/>
      <w:bookmarkStart w:id="172" w:name="_Toc200513142"/>
      <w:bookmarkStart w:id="173" w:name="_Toc287607762"/>
      <w:r>
        <w:rPr>
          <w:rFonts w:hint="eastAsia" w:ascii="宋体" w:cs="仿宋"/>
          <w:snapToGrid w:val="0"/>
          <w:sz w:val="21"/>
          <w:szCs w:val="21"/>
        </w:rPr>
        <w:t>2.2 竞争性比选文件的澄清</w:t>
      </w:r>
      <w:bookmarkEnd w:id="167"/>
      <w:bookmarkEnd w:id="168"/>
      <w:bookmarkEnd w:id="169"/>
      <w:bookmarkEnd w:id="170"/>
      <w:bookmarkEnd w:id="171"/>
      <w:bookmarkEnd w:id="172"/>
      <w:bookmarkEnd w:id="173"/>
    </w:p>
    <w:p>
      <w:pPr>
        <w:autoSpaceDE w:val="0"/>
        <w:autoSpaceDN w:val="0"/>
        <w:adjustRightInd w:val="0"/>
        <w:snapToGrid w:val="0"/>
        <w:spacing w:line="400" w:lineRule="exact"/>
        <w:ind w:firstLine="420" w:firstLineChars="200"/>
        <w:jc w:val="left"/>
        <w:rPr>
          <w:rFonts w:ascii="宋体" w:cs="仿宋"/>
          <w:snapToGrid w:val="0"/>
          <w:kern w:val="0"/>
          <w:szCs w:val="21"/>
        </w:rPr>
      </w:pPr>
      <w:bookmarkStart w:id="174" w:name="_Toc200513144"/>
      <w:bookmarkStart w:id="175" w:name="_Toc322559602"/>
      <w:bookmarkStart w:id="176" w:name="_Toc22095"/>
      <w:bookmarkStart w:id="177" w:name="_Toc298010267"/>
      <w:bookmarkStart w:id="178" w:name="_Toc325910572"/>
      <w:r>
        <w:rPr>
          <w:rFonts w:hint="eastAsia" w:ascii="宋体" w:cs="仿宋"/>
          <w:snapToGrid w:val="0"/>
          <w:kern w:val="0"/>
          <w:szCs w:val="21"/>
        </w:rPr>
        <w:t>2.2.1投标人应仔细阅读和检查比选文件的全部内容。如发现缺页或附件不全，应在投标人须知前附表规定的时间前，及时将其质疑以匿名方式传真至比选人代理机构（传真号为023-45678150），要求比选人对比选文件予以澄清。</w:t>
      </w:r>
    </w:p>
    <w:p>
      <w:pPr>
        <w:autoSpaceDE w:val="0"/>
        <w:autoSpaceDN w:val="0"/>
        <w:adjustRightInd w:val="0"/>
        <w:snapToGrid w:val="0"/>
        <w:spacing w:line="400" w:lineRule="exact"/>
        <w:ind w:firstLine="420" w:firstLineChars="200"/>
        <w:jc w:val="left"/>
        <w:rPr>
          <w:rFonts w:ascii="宋体" w:cs="仿宋"/>
          <w:snapToGrid w:val="0"/>
          <w:kern w:val="0"/>
          <w:szCs w:val="21"/>
        </w:rPr>
      </w:pPr>
      <w:bookmarkStart w:id="179" w:name="_Toc431406969"/>
      <w:bookmarkStart w:id="180" w:name="_Toc12262"/>
      <w:bookmarkStart w:id="181" w:name="_Toc437509170"/>
      <w:bookmarkStart w:id="182" w:name="_Toc359578824"/>
      <w:r>
        <w:rPr>
          <w:rFonts w:hint="eastAsia" w:ascii="宋体" w:cs="仿宋"/>
          <w:snapToGrid w:val="0"/>
          <w:kern w:val="0"/>
          <w:szCs w:val="21"/>
        </w:rPr>
        <w:t>2.2.2 比选文件的澄清将在投标人须知前附表规定的投标截止时间1天前，在重庆绅鹏实业开发有限公司官网（www.cqshenpeng.com）上公告，但不指明澄清问题的来源。如果澄清发出的时间距投标截止时间不足1天且影响投标文件编制的，相应延长投标截止时间。</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2.2.3 凡有意参加投标者，从本项目比选公告发布之日起，请随时关注重庆绅鹏实业开发有限公司官网（www.cqshenpeng.com），不论投标人是否查阅，比选人和比选代理机构均视为投标人已知晓比选人对比选文件作出的澄清。</w:t>
      </w:r>
    </w:p>
    <w:p>
      <w:pPr>
        <w:pStyle w:val="6"/>
        <w:snapToGrid w:val="0"/>
        <w:spacing w:before="0" w:after="0" w:line="400" w:lineRule="exact"/>
        <w:rPr>
          <w:rFonts w:ascii="宋体" w:cs="仿宋"/>
          <w:snapToGrid w:val="0"/>
          <w:sz w:val="21"/>
          <w:szCs w:val="21"/>
        </w:rPr>
      </w:pPr>
      <w:r>
        <w:rPr>
          <w:rFonts w:hint="eastAsia" w:ascii="宋体" w:cs="仿宋"/>
          <w:snapToGrid w:val="0"/>
          <w:sz w:val="21"/>
          <w:szCs w:val="21"/>
        </w:rPr>
        <w:t>2.3 比选文件的修改</w:t>
      </w:r>
      <w:bookmarkEnd w:id="179"/>
      <w:bookmarkEnd w:id="180"/>
      <w:bookmarkEnd w:id="181"/>
      <w:bookmarkEnd w:id="182"/>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2.3.1比选文件的修改在重庆绅鹏实业开发有限公司官网（www.cqshenpeng.com）上公告。如果修改比选文件的时间距投标截止时间不足1天且影响投标文件编制的，相应延长投标截止时间。</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2.3.2凡有意参加投标者，从本项目比选公告发布之日起，请随时关注重庆绅鹏实业开发有限公司官网（www.cqshenpeng.com），比选人不再另行通知，不论投标人是否查阅，比选人和比选代理机构都视为投标人已知晓比选人对比选文件作出的修改。</w:t>
      </w:r>
    </w:p>
    <w:p>
      <w:pPr>
        <w:pStyle w:val="5"/>
        <w:spacing w:before="0" w:after="0" w:line="400" w:lineRule="atLeast"/>
        <w:rPr>
          <w:rFonts w:ascii="宋体" w:eastAsia="宋体" w:cs="仿宋"/>
          <w:snapToGrid w:val="0"/>
          <w:sz w:val="24"/>
          <w:szCs w:val="24"/>
        </w:rPr>
      </w:pPr>
      <w:r>
        <w:rPr>
          <w:rFonts w:ascii="宋体" w:eastAsia="宋体" w:cs="仿宋"/>
          <w:snapToGrid w:val="0"/>
          <w:sz w:val="24"/>
          <w:szCs w:val="24"/>
        </w:rPr>
        <w:t xml:space="preserve">3. </w:t>
      </w:r>
      <w:r>
        <w:rPr>
          <w:rFonts w:hint="eastAsia" w:ascii="宋体" w:eastAsia="宋体" w:cs="仿宋"/>
          <w:snapToGrid w:val="0"/>
          <w:sz w:val="24"/>
          <w:szCs w:val="24"/>
        </w:rPr>
        <w:t>投标文件</w:t>
      </w:r>
      <w:bookmarkEnd w:id="174"/>
      <w:bookmarkEnd w:id="175"/>
      <w:bookmarkEnd w:id="176"/>
      <w:bookmarkEnd w:id="177"/>
      <w:bookmarkEnd w:id="178"/>
    </w:p>
    <w:p>
      <w:pPr>
        <w:pStyle w:val="6"/>
        <w:snapToGrid w:val="0"/>
        <w:spacing w:before="0" w:after="0" w:line="400" w:lineRule="exact"/>
        <w:rPr>
          <w:rFonts w:ascii="宋体" w:cs="仿宋"/>
          <w:snapToGrid w:val="0"/>
          <w:sz w:val="21"/>
          <w:szCs w:val="21"/>
        </w:rPr>
      </w:pPr>
      <w:bookmarkStart w:id="183" w:name="_Toc322559603"/>
      <w:bookmarkStart w:id="184" w:name="_Toc200513145"/>
      <w:bookmarkStart w:id="185" w:name="_Toc298010268"/>
      <w:bookmarkStart w:id="186" w:name="_Toc325910573"/>
      <w:bookmarkStart w:id="187" w:name="_Toc322559179"/>
      <w:bookmarkStart w:id="188" w:name="_Toc25034"/>
      <w:bookmarkStart w:id="189" w:name="_Toc296674656"/>
      <w:r>
        <w:rPr>
          <w:rFonts w:hint="eastAsia" w:ascii="宋体" w:cs="仿宋"/>
          <w:snapToGrid w:val="0"/>
          <w:sz w:val="21"/>
          <w:szCs w:val="21"/>
        </w:rPr>
        <w:t>3.1 投标文件的组成</w:t>
      </w:r>
      <w:bookmarkEnd w:id="183"/>
      <w:bookmarkEnd w:id="184"/>
      <w:bookmarkEnd w:id="185"/>
      <w:bookmarkEnd w:id="186"/>
      <w:bookmarkEnd w:id="187"/>
      <w:bookmarkEnd w:id="188"/>
      <w:bookmarkEnd w:id="189"/>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（1）投标函及投标函附录；</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（2）法定代表人身份证明或附有法定代表人身份证明的授权委托书；</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（3）投标保证金；</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（4）已标价工程量清单；</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（5）资格审查资料；</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（6）投标人须知前附表规定的其他材料。</w:t>
      </w:r>
    </w:p>
    <w:p>
      <w:pPr>
        <w:pStyle w:val="6"/>
        <w:snapToGrid w:val="0"/>
        <w:spacing w:before="0" w:after="0" w:line="400" w:lineRule="exact"/>
        <w:rPr>
          <w:rFonts w:ascii="宋体" w:cs="仿宋"/>
          <w:snapToGrid w:val="0"/>
          <w:sz w:val="21"/>
          <w:szCs w:val="21"/>
        </w:rPr>
      </w:pPr>
      <w:bookmarkStart w:id="190" w:name="_Toc296674657"/>
      <w:bookmarkStart w:id="191" w:name="_Toc325910574"/>
      <w:bookmarkStart w:id="192" w:name="_Toc298010269"/>
      <w:bookmarkStart w:id="193" w:name="_Toc200513146"/>
      <w:bookmarkStart w:id="194" w:name="_Toc13714"/>
      <w:r>
        <w:rPr>
          <w:rFonts w:hint="eastAsia" w:ascii="宋体" w:cs="仿宋"/>
          <w:snapToGrid w:val="0"/>
          <w:sz w:val="21"/>
          <w:szCs w:val="21"/>
        </w:rPr>
        <w:t>3.2投标报价</w:t>
      </w:r>
      <w:bookmarkEnd w:id="190"/>
      <w:bookmarkEnd w:id="191"/>
      <w:bookmarkEnd w:id="192"/>
      <w:bookmarkEnd w:id="193"/>
      <w:bookmarkEnd w:id="194"/>
      <w:bookmarkStart w:id="195" w:name="_Toc298010270"/>
      <w:bookmarkStart w:id="196" w:name="_Toc296674658"/>
    </w:p>
    <w:p>
      <w:pPr>
        <w:autoSpaceDE w:val="0"/>
        <w:autoSpaceDN w:val="0"/>
        <w:adjustRightInd w:val="0"/>
        <w:snapToGrid w:val="0"/>
        <w:spacing w:line="400" w:lineRule="exact"/>
        <w:ind w:firstLine="420" w:firstLineChars="200"/>
        <w:jc w:val="left"/>
        <w:rPr>
          <w:rFonts w:ascii="宋体" w:cs="仿宋"/>
          <w:snapToGrid w:val="0"/>
          <w:kern w:val="0"/>
          <w:szCs w:val="21"/>
        </w:rPr>
      </w:pPr>
      <w:bookmarkStart w:id="197" w:name="_Toc322559604"/>
      <w:bookmarkStart w:id="198" w:name="_Toc322559180"/>
      <w:bookmarkStart w:id="199" w:name="_Toc325910575"/>
      <w:bookmarkStart w:id="200" w:name="_Toc18955"/>
      <w:r>
        <w:rPr>
          <w:rFonts w:hint="eastAsia" w:ascii="宋体" w:cs="仿宋"/>
          <w:snapToGrid w:val="0"/>
          <w:kern w:val="0"/>
          <w:szCs w:val="21"/>
        </w:rPr>
        <w:t>3.2.1  投标人应按第二章投标人须知和第五章“工程量清单”的要求填写相应表格。</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3.2.2　投标人在投标截止时间前修改投标函中的投标总报价，应同时修改第五章“工程量清单”中的相应报价。此修改须符合本章第 4.3 款的有关要求。</w:t>
      </w:r>
    </w:p>
    <w:p>
      <w:pPr>
        <w:pStyle w:val="6"/>
        <w:snapToGrid w:val="0"/>
        <w:spacing w:before="0" w:after="0" w:line="400" w:lineRule="exact"/>
        <w:rPr>
          <w:rFonts w:ascii="宋体" w:cs="仿宋"/>
          <w:snapToGrid w:val="0"/>
          <w:sz w:val="21"/>
          <w:szCs w:val="21"/>
        </w:rPr>
      </w:pPr>
      <w:r>
        <w:rPr>
          <w:rFonts w:hint="eastAsia" w:ascii="宋体" w:cs="仿宋"/>
          <w:snapToGrid w:val="0"/>
          <w:sz w:val="21"/>
          <w:szCs w:val="21"/>
        </w:rPr>
        <w:t>3.3 投标有效期</w:t>
      </w:r>
      <w:bookmarkEnd w:id="195"/>
      <w:bookmarkEnd w:id="196"/>
      <w:bookmarkEnd w:id="197"/>
      <w:bookmarkEnd w:id="198"/>
      <w:bookmarkEnd w:id="199"/>
      <w:bookmarkEnd w:id="200"/>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3.3.1  在投标人须知前附表规定的投标有效期内，投标人不得要求撤销或修改其投标文件。</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3.3.2  出现特殊情况需要延长投标有效期的，比选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6"/>
        <w:snapToGrid w:val="0"/>
        <w:spacing w:before="0" w:after="0" w:line="400" w:lineRule="exact"/>
        <w:rPr>
          <w:rFonts w:ascii="宋体" w:cs="仿宋"/>
          <w:snapToGrid w:val="0"/>
          <w:sz w:val="21"/>
          <w:szCs w:val="21"/>
        </w:rPr>
      </w:pPr>
      <w:bookmarkStart w:id="201" w:name="_Toc322559181"/>
      <w:bookmarkStart w:id="202" w:name="_Toc200513148"/>
      <w:bookmarkStart w:id="203" w:name="_Toc29916"/>
      <w:bookmarkStart w:id="204" w:name="_Toc298010271"/>
      <w:bookmarkStart w:id="205" w:name="_Toc325910576"/>
      <w:bookmarkStart w:id="206" w:name="_Toc296674659"/>
      <w:bookmarkStart w:id="207" w:name="_Toc322559605"/>
      <w:r>
        <w:rPr>
          <w:rFonts w:hint="eastAsia" w:ascii="宋体" w:cs="仿宋"/>
          <w:snapToGrid w:val="0"/>
          <w:sz w:val="21"/>
          <w:szCs w:val="21"/>
        </w:rPr>
        <w:t>3.4 投标保证金</w:t>
      </w:r>
      <w:bookmarkEnd w:id="201"/>
      <w:bookmarkEnd w:id="202"/>
      <w:bookmarkEnd w:id="203"/>
      <w:bookmarkEnd w:id="204"/>
      <w:bookmarkEnd w:id="205"/>
      <w:bookmarkEnd w:id="206"/>
      <w:bookmarkEnd w:id="207"/>
    </w:p>
    <w:p>
      <w:pPr>
        <w:autoSpaceDE w:val="0"/>
        <w:autoSpaceDN w:val="0"/>
        <w:adjustRightInd w:val="0"/>
        <w:snapToGrid w:val="0"/>
        <w:spacing w:line="400" w:lineRule="exact"/>
        <w:ind w:firstLine="420" w:firstLineChars="200"/>
        <w:jc w:val="left"/>
        <w:rPr>
          <w:rFonts w:ascii="宋体" w:cs="仿宋"/>
          <w:snapToGrid w:val="0"/>
          <w:kern w:val="0"/>
          <w:szCs w:val="21"/>
        </w:rPr>
      </w:pPr>
      <w:bookmarkStart w:id="208" w:name="_Toc298010272"/>
      <w:bookmarkStart w:id="209" w:name="_Toc200513150"/>
      <w:bookmarkStart w:id="210" w:name="_Toc296674660"/>
      <w:r>
        <w:rPr>
          <w:rFonts w:hint="eastAsia" w:ascii="宋体" w:cs="仿宋"/>
          <w:snapToGrid w:val="0"/>
          <w:kern w:val="0"/>
          <w:szCs w:val="21"/>
        </w:rPr>
        <w:t>3.4.1  投标人在递交投标文件的同时，应按投标人须知前附表要求递交投标保证金，并作为其投标文件的组成部分。</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3.4.2  投标人不按本章第 3.4.1 项要求提交投标保证金的，其投标文件当场退还。</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3.4.3  投标保证金的退还详见投标人须知前附表。</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3.4.4  有下列情形之一的，投标保证金将不予退还：</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（1）投标人在规定的投标有效期内撤销或修改其投标文件；</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（2）中标人在收到中标通知书后，无正当理由拒签合同协议书或未按比选文件规定提交履约保证金。</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（3）发现投标人弄虚作假的；</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（4）发现投标人围标串标的。</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（5）相关法律法规规定的其他情形。</w:t>
      </w:r>
    </w:p>
    <w:p>
      <w:pPr>
        <w:pStyle w:val="6"/>
        <w:snapToGrid w:val="0"/>
        <w:spacing w:before="0" w:after="0" w:line="400" w:lineRule="exact"/>
        <w:rPr>
          <w:rFonts w:ascii="宋体" w:cs="仿宋"/>
          <w:snapToGrid w:val="0"/>
          <w:sz w:val="21"/>
          <w:szCs w:val="21"/>
        </w:rPr>
      </w:pPr>
      <w:bookmarkStart w:id="211" w:name="_Toc322559182"/>
      <w:bookmarkStart w:id="212" w:name="_Toc325910577"/>
      <w:bookmarkStart w:id="213" w:name="_Toc322559606"/>
      <w:bookmarkStart w:id="214" w:name="_Toc8901"/>
      <w:r>
        <w:rPr>
          <w:rFonts w:hint="eastAsia" w:ascii="宋体" w:cs="仿宋"/>
          <w:snapToGrid w:val="0"/>
          <w:sz w:val="21"/>
          <w:szCs w:val="21"/>
        </w:rPr>
        <w:t>3.5 资格审查资料</w:t>
      </w:r>
      <w:bookmarkEnd w:id="208"/>
      <w:bookmarkEnd w:id="209"/>
      <w:bookmarkEnd w:id="210"/>
      <w:bookmarkEnd w:id="211"/>
      <w:bookmarkEnd w:id="212"/>
      <w:bookmarkEnd w:id="213"/>
      <w:bookmarkEnd w:id="214"/>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见投标人须知前附表。</w:t>
      </w:r>
    </w:p>
    <w:p>
      <w:pPr>
        <w:pStyle w:val="6"/>
        <w:snapToGrid w:val="0"/>
        <w:spacing w:before="0" w:after="0" w:line="400" w:lineRule="exact"/>
        <w:rPr>
          <w:rFonts w:ascii="宋体" w:cs="仿宋"/>
          <w:snapToGrid w:val="0"/>
          <w:sz w:val="21"/>
          <w:szCs w:val="21"/>
        </w:rPr>
      </w:pPr>
      <w:bookmarkStart w:id="215" w:name="_Toc325910578"/>
      <w:bookmarkStart w:id="216" w:name="_Toc296674661"/>
      <w:bookmarkStart w:id="217" w:name="_Toc322559607"/>
      <w:bookmarkStart w:id="218" w:name="_Toc298010273"/>
      <w:bookmarkStart w:id="219" w:name="_Toc14000"/>
      <w:bookmarkStart w:id="220" w:name="_Toc200513151"/>
      <w:bookmarkStart w:id="221" w:name="_Toc322559183"/>
      <w:r>
        <w:rPr>
          <w:rFonts w:hint="eastAsia" w:ascii="宋体" w:cs="仿宋"/>
          <w:snapToGrid w:val="0"/>
          <w:sz w:val="21"/>
          <w:szCs w:val="21"/>
        </w:rPr>
        <w:t>3.6 备选投标方案</w:t>
      </w:r>
      <w:bookmarkEnd w:id="215"/>
      <w:bookmarkEnd w:id="216"/>
      <w:bookmarkEnd w:id="217"/>
      <w:bookmarkEnd w:id="218"/>
      <w:bookmarkEnd w:id="219"/>
      <w:bookmarkEnd w:id="220"/>
      <w:bookmarkEnd w:id="221"/>
    </w:p>
    <w:p>
      <w:pPr>
        <w:autoSpaceDE w:val="0"/>
        <w:autoSpaceDN w:val="0"/>
        <w:adjustRightInd w:val="0"/>
        <w:snapToGrid w:val="0"/>
        <w:spacing w:line="400" w:lineRule="exact"/>
        <w:ind w:firstLine="420" w:firstLineChars="200"/>
        <w:jc w:val="left"/>
        <w:rPr>
          <w:rFonts w:ascii="宋体" w:cs="仿宋"/>
          <w:snapToGrid w:val="0"/>
          <w:kern w:val="0"/>
          <w:szCs w:val="21"/>
        </w:rPr>
      </w:pPr>
      <w:bookmarkStart w:id="222" w:name="_Toc200513152"/>
      <w:bookmarkStart w:id="223" w:name="_Toc296674662"/>
      <w:bookmarkStart w:id="224" w:name="_Toc298010274"/>
      <w:r>
        <w:rPr>
          <w:rFonts w:hint="eastAsia" w:ascii="宋体" w:cs="仿宋"/>
          <w:snapToGrid w:val="0"/>
          <w:kern w:val="0"/>
          <w:szCs w:val="21"/>
        </w:rPr>
        <w:t>投标人不得递交备选投标方案。</w:t>
      </w:r>
    </w:p>
    <w:p>
      <w:pPr>
        <w:pStyle w:val="6"/>
        <w:snapToGrid w:val="0"/>
        <w:spacing w:before="0" w:after="0" w:line="400" w:lineRule="exact"/>
        <w:rPr>
          <w:rFonts w:ascii="宋体" w:cs="仿宋"/>
          <w:snapToGrid w:val="0"/>
          <w:sz w:val="21"/>
          <w:szCs w:val="21"/>
        </w:rPr>
      </w:pPr>
      <w:bookmarkStart w:id="225" w:name="_Toc322559184"/>
      <w:bookmarkStart w:id="226" w:name="_Toc27610"/>
      <w:bookmarkStart w:id="227" w:name="_Toc322559608"/>
      <w:bookmarkStart w:id="228" w:name="_Toc325910579"/>
      <w:r>
        <w:rPr>
          <w:rFonts w:hint="eastAsia" w:ascii="宋体" w:cs="仿宋"/>
          <w:snapToGrid w:val="0"/>
          <w:sz w:val="21"/>
          <w:szCs w:val="21"/>
        </w:rPr>
        <w:t>3.7 投标文件的编制</w:t>
      </w:r>
      <w:bookmarkEnd w:id="222"/>
      <w:bookmarkEnd w:id="223"/>
      <w:bookmarkEnd w:id="224"/>
      <w:bookmarkEnd w:id="225"/>
      <w:bookmarkEnd w:id="226"/>
      <w:bookmarkEnd w:id="227"/>
      <w:bookmarkEnd w:id="228"/>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3.7.1  投标文件应按第七章“投标文件格式”进行编写，如有必要，可以增加附页，作为投标文件的组成部分。其中，投标函附录在满足竞争性比选文件实质性要求的基础上，可以提出比竞争性比选文件要求更有利于招标人的承诺。</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3.7.2  投标文件应当对竞争性比选文件有关工期、投标有效期、质量要求、比选范围等实质性内容做出响应。</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3.7.3  投标文件应用不褪色的材料书写或打印。委托代理人签字的，投标文件应附法定代表人签署的授权委托书。投标文件应尽量避免涂改、行间插字或删除。如果出现上述情况，改动之处应加盖单位公章。签字或盖章的具体要求见投标人须知前附表。</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3.7.4  投标文件正本一份，副本份数见投标人须知前附表。正本和副本的封面上应清楚地标记“正本”或“副本”的字样。当副本和正本不一致时，以正本为准。</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3.7.5  投标文件的正本与副本应分别装订成册，并编制目录，具体装订要求见投标人须知前附表规定。</w:t>
      </w:r>
    </w:p>
    <w:p>
      <w:pPr>
        <w:pStyle w:val="5"/>
        <w:spacing w:before="0" w:after="0" w:line="400" w:lineRule="atLeast"/>
        <w:rPr>
          <w:rFonts w:ascii="宋体" w:eastAsia="宋体" w:cs="仿宋"/>
          <w:snapToGrid w:val="0"/>
          <w:sz w:val="24"/>
          <w:szCs w:val="24"/>
        </w:rPr>
      </w:pPr>
      <w:bookmarkStart w:id="229" w:name="_Toc200513153"/>
      <w:bookmarkStart w:id="230" w:name="_Toc11333"/>
      <w:bookmarkStart w:id="231" w:name="_Toc325910580"/>
      <w:bookmarkStart w:id="232" w:name="_Toc298010275"/>
      <w:bookmarkStart w:id="233" w:name="_Toc322559609"/>
      <w:r>
        <w:rPr>
          <w:rFonts w:ascii="宋体" w:eastAsia="宋体" w:cs="仿宋"/>
          <w:snapToGrid w:val="0"/>
          <w:sz w:val="24"/>
          <w:szCs w:val="24"/>
        </w:rPr>
        <w:t xml:space="preserve">4. </w:t>
      </w:r>
      <w:r>
        <w:rPr>
          <w:rFonts w:hint="eastAsia" w:ascii="宋体" w:eastAsia="宋体" w:cs="仿宋"/>
          <w:snapToGrid w:val="0"/>
          <w:sz w:val="24"/>
          <w:szCs w:val="24"/>
        </w:rPr>
        <w:t>投标</w:t>
      </w:r>
      <w:bookmarkEnd w:id="229"/>
      <w:bookmarkEnd w:id="230"/>
      <w:bookmarkEnd w:id="231"/>
      <w:bookmarkEnd w:id="232"/>
      <w:bookmarkEnd w:id="233"/>
    </w:p>
    <w:p>
      <w:pPr>
        <w:pStyle w:val="6"/>
        <w:snapToGrid w:val="0"/>
        <w:spacing w:before="0" w:after="0" w:line="400" w:lineRule="exact"/>
        <w:rPr>
          <w:rFonts w:ascii="宋体" w:cs="仿宋"/>
          <w:snapToGrid w:val="0"/>
          <w:sz w:val="21"/>
          <w:szCs w:val="21"/>
        </w:rPr>
      </w:pPr>
      <w:bookmarkStart w:id="234" w:name="_Toc298010276"/>
      <w:bookmarkStart w:id="235" w:name="_Toc322559186"/>
      <w:bookmarkStart w:id="236" w:name="_Toc29497"/>
      <w:bookmarkStart w:id="237" w:name="_Toc200513154"/>
      <w:bookmarkStart w:id="238" w:name="_Toc322559610"/>
      <w:bookmarkStart w:id="239" w:name="_Toc296674664"/>
      <w:bookmarkStart w:id="240" w:name="_Toc325910581"/>
      <w:r>
        <w:rPr>
          <w:rFonts w:ascii="宋体" w:cs="仿宋"/>
          <w:snapToGrid w:val="0"/>
          <w:sz w:val="21"/>
          <w:szCs w:val="21"/>
        </w:rPr>
        <w:t xml:space="preserve">4.1 </w:t>
      </w:r>
      <w:r>
        <w:rPr>
          <w:rFonts w:hint="eastAsia" w:ascii="宋体" w:cs="仿宋"/>
          <w:snapToGrid w:val="0"/>
          <w:sz w:val="21"/>
          <w:szCs w:val="21"/>
        </w:rPr>
        <w:t>投标文件的密封和标记</w:t>
      </w:r>
      <w:bookmarkEnd w:id="234"/>
      <w:bookmarkEnd w:id="235"/>
      <w:bookmarkEnd w:id="236"/>
      <w:bookmarkEnd w:id="237"/>
      <w:bookmarkEnd w:id="238"/>
      <w:bookmarkEnd w:id="239"/>
      <w:bookmarkEnd w:id="240"/>
    </w:p>
    <w:p>
      <w:pPr>
        <w:autoSpaceDE w:val="0"/>
        <w:autoSpaceDN w:val="0"/>
        <w:adjustRightInd w:val="0"/>
        <w:snapToGrid w:val="0"/>
        <w:spacing w:line="400" w:lineRule="exact"/>
        <w:ind w:firstLine="420" w:firstLineChars="200"/>
        <w:jc w:val="left"/>
        <w:rPr>
          <w:rFonts w:ascii="宋体" w:cs="仿宋"/>
          <w:snapToGrid w:val="0"/>
          <w:kern w:val="0"/>
          <w:szCs w:val="21"/>
        </w:rPr>
      </w:pPr>
      <w:bookmarkStart w:id="241" w:name="_Toc200513155"/>
      <w:r>
        <w:rPr>
          <w:rFonts w:hint="eastAsia" w:ascii="宋体" w:cs="仿宋"/>
          <w:snapToGrid w:val="0"/>
          <w:kern w:val="0"/>
          <w:szCs w:val="21"/>
        </w:rPr>
        <w:t>4.1.1  投标文件的正本与副本密封见投标人须知前附表。</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4.1.2  投标大袋和资格审查袋的封套上应写明的内容见投标人须知前附表。</w:t>
      </w:r>
    </w:p>
    <w:p>
      <w:pPr>
        <w:autoSpaceDE w:val="0"/>
        <w:autoSpaceDN w:val="0"/>
        <w:adjustRightInd w:val="0"/>
        <w:snapToGrid w:val="0"/>
        <w:spacing w:line="400" w:lineRule="exact"/>
        <w:ind w:firstLine="420" w:firstLineChars="200"/>
        <w:jc w:val="left"/>
        <w:rPr>
          <w:rFonts w:ascii="宋体" w:cs="仿宋"/>
          <w:snapToGrid w:val="0"/>
          <w:kern w:val="0"/>
          <w:szCs w:val="21"/>
        </w:rPr>
      </w:pPr>
      <w:bookmarkStart w:id="242" w:name="_Toc330980425"/>
      <w:bookmarkStart w:id="243" w:name="_Toc362250494"/>
      <w:bookmarkStart w:id="244" w:name="_Toc333404489"/>
      <w:r>
        <w:rPr>
          <w:rFonts w:hint="eastAsia" w:ascii="宋体" w:cs="仿宋"/>
          <w:snapToGrid w:val="0"/>
          <w:kern w:val="0"/>
          <w:szCs w:val="21"/>
        </w:rPr>
        <w:t>4.1.3  未按本章第 4.1.1 项或第 4.1.2 项要求密封和加写标记的投标文件，招标人不予受理</w:t>
      </w:r>
      <w:bookmarkEnd w:id="242"/>
      <w:bookmarkEnd w:id="243"/>
      <w:bookmarkEnd w:id="244"/>
      <w:r>
        <w:rPr>
          <w:rFonts w:hint="eastAsia" w:ascii="宋体" w:cs="仿宋"/>
          <w:snapToGrid w:val="0"/>
          <w:kern w:val="0"/>
          <w:szCs w:val="21"/>
        </w:rPr>
        <w:t>。</w:t>
      </w:r>
    </w:p>
    <w:p>
      <w:pPr>
        <w:pStyle w:val="6"/>
        <w:snapToGrid w:val="0"/>
        <w:spacing w:before="0" w:after="0" w:line="400" w:lineRule="exact"/>
        <w:rPr>
          <w:rFonts w:ascii="宋体" w:cs="仿宋"/>
          <w:snapToGrid w:val="0"/>
          <w:sz w:val="21"/>
          <w:szCs w:val="21"/>
        </w:rPr>
      </w:pPr>
      <w:bookmarkStart w:id="245" w:name="_Toc298010277"/>
      <w:bookmarkStart w:id="246" w:name="_Toc322559611"/>
      <w:bookmarkStart w:id="247" w:name="_Toc325910582"/>
      <w:bookmarkStart w:id="248" w:name="_Toc322559187"/>
      <w:bookmarkStart w:id="249" w:name="_Toc19954"/>
      <w:bookmarkStart w:id="250" w:name="_Toc296674665"/>
      <w:r>
        <w:rPr>
          <w:rFonts w:ascii="宋体" w:cs="仿宋"/>
          <w:snapToGrid w:val="0"/>
          <w:sz w:val="21"/>
          <w:szCs w:val="21"/>
        </w:rPr>
        <w:t xml:space="preserve">4.2  </w:t>
      </w:r>
      <w:r>
        <w:rPr>
          <w:rFonts w:hint="eastAsia" w:ascii="宋体" w:cs="仿宋"/>
          <w:snapToGrid w:val="0"/>
          <w:sz w:val="21"/>
          <w:szCs w:val="21"/>
        </w:rPr>
        <w:t>投标文件的递交</w:t>
      </w:r>
      <w:bookmarkEnd w:id="241"/>
      <w:bookmarkEnd w:id="245"/>
      <w:bookmarkEnd w:id="246"/>
      <w:bookmarkEnd w:id="247"/>
      <w:bookmarkEnd w:id="248"/>
      <w:bookmarkEnd w:id="249"/>
      <w:bookmarkEnd w:id="250"/>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4.2.1  投标人应在本章第 2.2.2 项规定的投标截止时间前递交投标文件。</w:t>
      </w:r>
    </w:p>
    <w:p>
      <w:pPr>
        <w:autoSpaceDE w:val="0"/>
        <w:autoSpaceDN w:val="0"/>
        <w:adjustRightInd w:val="0"/>
        <w:snapToGrid w:val="0"/>
        <w:spacing w:line="400" w:lineRule="exact"/>
        <w:ind w:firstLine="420" w:firstLineChars="200"/>
        <w:jc w:val="left"/>
        <w:rPr>
          <w:rFonts w:ascii="宋体" w:cs="仿宋"/>
          <w:snapToGrid w:val="0"/>
          <w:kern w:val="0"/>
          <w:szCs w:val="21"/>
        </w:rPr>
      </w:pPr>
      <w:bookmarkStart w:id="251" w:name="_Toc333404491"/>
      <w:bookmarkStart w:id="252" w:name="_Toc362250496"/>
      <w:bookmarkStart w:id="253" w:name="_Toc330980427"/>
      <w:r>
        <w:rPr>
          <w:rFonts w:hint="eastAsia" w:ascii="宋体" w:cs="仿宋"/>
          <w:snapToGrid w:val="0"/>
          <w:kern w:val="0"/>
          <w:szCs w:val="21"/>
        </w:rPr>
        <w:t>4.2.2  投标人递交投标文件的地点：见投标人须知前附表。</w:t>
      </w:r>
      <w:bookmarkEnd w:id="251"/>
      <w:bookmarkEnd w:id="252"/>
      <w:bookmarkEnd w:id="253"/>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4.2.3  除投标人须知前附表另有规定外，投标人所递交的投标文件不予退还。</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4.2.4  逾期送达的或者未送达指定地点的投标文件，招标人不予受理。</w:t>
      </w:r>
    </w:p>
    <w:p>
      <w:pPr>
        <w:pStyle w:val="6"/>
        <w:snapToGrid w:val="0"/>
        <w:spacing w:before="0" w:after="0" w:line="400" w:lineRule="exact"/>
        <w:rPr>
          <w:rFonts w:ascii="宋体" w:cs="仿宋"/>
          <w:snapToGrid w:val="0"/>
          <w:sz w:val="21"/>
          <w:szCs w:val="21"/>
        </w:rPr>
      </w:pPr>
      <w:bookmarkStart w:id="254" w:name="_Toc5756"/>
      <w:bookmarkStart w:id="255" w:name="_Toc325910583"/>
      <w:bookmarkStart w:id="256" w:name="_Toc200513156"/>
      <w:bookmarkStart w:id="257" w:name="_Toc322559188"/>
      <w:bookmarkStart w:id="258" w:name="_Toc298010278"/>
      <w:bookmarkStart w:id="259" w:name="_Toc322559612"/>
      <w:bookmarkStart w:id="260" w:name="_Toc296674666"/>
      <w:r>
        <w:rPr>
          <w:rFonts w:ascii="宋体" w:cs="仿宋"/>
          <w:snapToGrid w:val="0"/>
          <w:sz w:val="21"/>
          <w:szCs w:val="21"/>
        </w:rPr>
        <w:t xml:space="preserve">4.3 </w:t>
      </w:r>
      <w:r>
        <w:rPr>
          <w:rFonts w:hint="eastAsia" w:ascii="宋体" w:cs="仿宋"/>
          <w:snapToGrid w:val="0"/>
          <w:sz w:val="21"/>
          <w:szCs w:val="21"/>
        </w:rPr>
        <w:t>投标文件的修改与撤回</w:t>
      </w:r>
      <w:bookmarkEnd w:id="254"/>
      <w:bookmarkEnd w:id="255"/>
      <w:bookmarkEnd w:id="256"/>
      <w:bookmarkEnd w:id="257"/>
      <w:bookmarkEnd w:id="258"/>
      <w:bookmarkEnd w:id="259"/>
      <w:bookmarkEnd w:id="260"/>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4.3.1  在本章第2.2.2项规定的投标截止时间前，投标人可以修改或撤回已递交的投标文件，但应以书面形式通知招标人。</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4.3.2  投标人修改或撤回已递交投标文件的书面通知应按照本章第3.7.3项的要求签字或盖章。招标人收到书面通知后，向投标人出具签收凭证。</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4.3.3  修改的内容为投标文件的组成部分。修改的投标文件应按照本章第3条、第4条规定进行编制、密封、标记和递交，并标明“修改”字样。</w:t>
      </w:r>
    </w:p>
    <w:p>
      <w:pPr>
        <w:pStyle w:val="5"/>
        <w:spacing w:before="0" w:after="0" w:line="400" w:lineRule="atLeast"/>
        <w:rPr>
          <w:rFonts w:ascii="宋体" w:eastAsia="宋体" w:cs="仿宋"/>
          <w:snapToGrid w:val="0"/>
          <w:sz w:val="24"/>
          <w:szCs w:val="24"/>
        </w:rPr>
      </w:pPr>
      <w:bookmarkStart w:id="261" w:name="_Toc322559613"/>
      <w:bookmarkStart w:id="262" w:name="_Toc298010279"/>
      <w:bookmarkStart w:id="263" w:name="_Toc15466"/>
      <w:bookmarkStart w:id="264" w:name="_Toc200513157"/>
      <w:bookmarkStart w:id="265" w:name="_Toc325910584"/>
      <w:r>
        <w:rPr>
          <w:rFonts w:ascii="宋体" w:eastAsia="宋体" w:cs="仿宋"/>
          <w:snapToGrid w:val="0"/>
          <w:sz w:val="24"/>
          <w:szCs w:val="24"/>
        </w:rPr>
        <w:t xml:space="preserve">5. </w:t>
      </w:r>
      <w:r>
        <w:rPr>
          <w:rFonts w:hint="eastAsia" w:ascii="宋体" w:eastAsia="宋体" w:cs="仿宋"/>
          <w:snapToGrid w:val="0"/>
          <w:sz w:val="24"/>
          <w:szCs w:val="24"/>
        </w:rPr>
        <w:t>开标</w:t>
      </w:r>
      <w:bookmarkEnd w:id="261"/>
      <w:bookmarkEnd w:id="262"/>
      <w:bookmarkEnd w:id="263"/>
      <w:bookmarkEnd w:id="264"/>
      <w:bookmarkEnd w:id="265"/>
    </w:p>
    <w:p>
      <w:pPr>
        <w:pStyle w:val="6"/>
        <w:snapToGrid w:val="0"/>
        <w:spacing w:before="0" w:after="0" w:line="400" w:lineRule="exact"/>
        <w:rPr>
          <w:rFonts w:ascii="宋体" w:cs="仿宋"/>
          <w:snapToGrid w:val="0"/>
          <w:sz w:val="21"/>
          <w:szCs w:val="21"/>
        </w:rPr>
      </w:pPr>
      <w:bookmarkStart w:id="266" w:name="_Toc200513158"/>
      <w:bookmarkStart w:id="267" w:name="_Toc296674668"/>
      <w:bookmarkStart w:id="268" w:name="_Toc28397"/>
      <w:bookmarkStart w:id="269" w:name="_Toc298010280"/>
      <w:bookmarkStart w:id="270" w:name="_Toc325910585"/>
      <w:r>
        <w:rPr>
          <w:rFonts w:ascii="宋体" w:cs="仿宋"/>
          <w:snapToGrid w:val="0"/>
          <w:sz w:val="21"/>
          <w:szCs w:val="21"/>
        </w:rPr>
        <w:t xml:space="preserve">5.1 </w:t>
      </w:r>
      <w:r>
        <w:rPr>
          <w:rFonts w:hint="eastAsia" w:ascii="宋体" w:cs="仿宋"/>
          <w:snapToGrid w:val="0"/>
          <w:sz w:val="21"/>
          <w:szCs w:val="21"/>
        </w:rPr>
        <w:t>时间和地点</w:t>
      </w:r>
      <w:bookmarkEnd w:id="266"/>
      <w:bookmarkEnd w:id="267"/>
      <w:bookmarkEnd w:id="268"/>
      <w:bookmarkEnd w:id="269"/>
      <w:bookmarkEnd w:id="270"/>
    </w:p>
    <w:p>
      <w:pPr>
        <w:spacing w:line="360" w:lineRule="exact"/>
        <w:ind w:firstLine="420" w:firstLineChars="200"/>
        <w:rPr>
          <w:rFonts w:ascii="宋体" w:cs="仿宋"/>
          <w:snapToGrid w:val="0"/>
          <w:kern w:val="0"/>
          <w:szCs w:val="21"/>
        </w:rPr>
      </w:pPr>
      <w:bookmarkStart w:id="271" w:name="_Toc298010281"/>
      <w:bookmarkStart w:id="272" w:name="_Toc296674669"/>
      <w:bookmarkStart w:id="273" w:name="_Toc200513159"/>
      <w:bookmarkStart w:id="274" w:name="_Toc325910586"/>
      <w:r>
        <w:rPr>
          <w:rFonts w:hint="eastAsia" w:ascii="宋体" w:cs="仿宋"/>
          <w:snapToGrid w:val="0"/>
          <w:kern w:val="0"/>
          <w:szCs w:val="21"/>
        </w:rPr>
        <w:t>比选人在投标人须知前附表第 2.2.2 项规定的投标截止时间（开标时间）和投标人须知前附表规定的地点公开开标，并邀请所有投标人的法定代表人或其委托代理人准时参加。</w:t>
      </w:r>
    </w:p>
    <w:p>
      <w:pPr>
        <w:pStyle w:val="6"/>
        <w:snapToGrid w:val="0"/>
        <w:spacing w:before="0" w:after="0" w:line="400" w:lineRule="exact"/>
        <w:rPr>
          <w:rFonts w:ascii="宋体" w:cs="仿宋"/>
          <w:snapToGrid w:val="0"/>
          <w:sz w:val="21"/>
          <w:szCs w:val="21"/>
        </w:rPr>
      </w:pPr>
      <w:bookmarkStart w:id="275" w:name="_Toc16816"/>
      <w:r>
        <w:rPr>
          <w:rFonts w:ascii="宋体" w:cs="仿宋"/>
          <w:snapToGrid w:val="0"/>
          <w:sz w:val="21"/>
          <w:szCs w:val="21"/>
        </w:rPr>
        <w:t xml:space="preserve">5.2  </w:t>
      </w:r>
      <w:r>
        <w:rPr>
          <w:rFonts w:hint="eastAsia" w:ascii="宋体" w:cs="仿宋"/>
          <w:snapToGrid w:val="0"/>
          <w:sz w:val="21"/>
          <w:szCs w:val="21"/>
        </w:rPr>
        <w:t>开标程序</w:t>
      </w:r>
      <w:bookmarkEnd w:id="271"/>
      <w:bookmarkEnd w:id="272"/>
      <w:bookmarkEnd w:id="273"/>
      <w:bookmarkEnd w:id="274"/>
      <w:bookmarkEnd w:id="275"/>
    </w:p>
    <w:p>
      <w:pPr>
        <w:spacing w:line="360" w:lineRule="exact"/>
        <w:ind w:firstLine="420" w:firstLineChars="200"/>
        <w:rPr>
          <w:rFonts w:ascii="宋体" w:cs="仿宋"/>
          <w:snapToGrid w:val="0"/>
          <w:kern w:val="0"/>
          <w:szCs w:val="21"/>
        </w:rPr>
      </w:pPr>
      <w:bookmarkStart w:id="276" w:name="_Toc200513160"/>
      <w:r>
        <w:rPr>
          <w:rFonts w:hint="eastAsia" w:ascii="宋体" w:cs="仿宋"/>
          <w:snapToGrid w:val="0"/>
          <w:kern w:val="0"/>
          <w:szCs w:val="21"/>
        </w:rPr>
        <w:t>见投标人须知前附表。</w:t>
      </w:r>
      <w:bookmarkStart w:id="277" w:name="_Toc17652"/>
      <w:bookmarkStart w:id="278" w:name="_Toc298010282"/>
      <w:bookmarkStart w:id="279" w:name="_Toc325910587"/>
      <w:bookmarkStart w:id="280" w:name="_Toc322559614"/>
    </w:p>
    <w:p>
      <w:pPr>
        <w:pStyle w:val="5"/>
        <w:spacing w:before="0" w:after="0" w:line="400" w:lineRule="atLeast"/>
        <w:rPr>
          <w:rFonts w:ascii="宋体" w:eastAsia="宋体" w:cs="仿宋"/>
          <w:snapToGrid w:val="0"/>
          <w:sz w:val="24"/>
          <w:szCs w:val="24"/>
        </w:rPr>
      </w:pPr>
      <w:r>
        <w:rPr>
          <w:rFonts w:ascii="宋体" w:eastAsia="宋体" w:cs="仿宋"/>
          <w:snapToGrid w:val="0"/>
          <w:sz w:val="24"/>
          <w:szCs w:val="24"/>
        </w:rPr>
        <w:t xml:space="preserve">6. </w:t>
      </w:r>
      <w:r>
        <w:rPr>
          <w:rFonts w:hint="eastAsia" w:ascii="宋体" w:eastAsia="宋体" w:cs="仿宋"/>
          <w:snapToGrid w:val="0"/>
          <w:sz w:val="24"/>
          <w:szCs w:val="24"/>
        </w:rPr>
        <w:t>评标</w:t>
      </w:r>
      <w:bookmarkEnd w:id="276"/>
      <w:bookmarkEnd w:id="277"/>
      <w:bookmarkEnd w:id="278"/>
      <w:bookmarkEnd w:id="279"/>
      <w:bookmarkEnd w:id="280"/>
    </w:p>
    <w:p>
      <w:pPr>
        <w:pStyle w:val="6"/>
        <w:snapToGrid w:val="0"/>
        <w:spacing w:before="0" w:after="0" w:line="400" w:lineRule="exact"/>
        <w:rPr>
          <w:rFonts w:ascii="宋体" w:cs="仿宋"/>
          <w:snapToGrid w:val="0"/>
          <w:sz w:val="21"/>
          <w:szCs w:val="21"/>
        </w:rPr>
      </w:pPr>
      <w:bookmarkStart w:id="281" w:name="_Toc298010283"/>
      <w:bookmarkStart w:id="282" w:name="_Toc200513161"/>
      <w:bookmarkStart w:id="283" w:name="_Toc322559615"/>
      <w:bookmarkStart w:id="284" w:name="_Toc296674671"/>
      <w:bookmarkStart w:id="285" w:name="_Toc325910588"/>
      <w:bookmarkStart w:id="286" w:name="_Toc322559191"/>
      <w:bookmarkStart w:id="287" w:name="_Toc22834"/>
      <w:r>
        <w:rPr>
          <w:rFonts w:hint="eastAsia" w:ascii="宋体" w:cs="仿宋"/>
          <w:snapToGrid w:val="0"/>
          <w:sz w:val="21"/>
          <w:szCs w:val="21"/>
        </w:rPr>
        <w:t>6.1 评标委员会</w:t>
      </w:r>
      <w:bookmarkEnd w:id="281"/>
      <w:bookmarkEnd w:id="282"/>
      <w:bookmarkEnd w:id="283"/>
      <w:bookmarkEnd w:id="284"/>
      <w:bookmarkEnd w:id="285"/>
      <w:bookmarkEnd w:id="286"/>
      <w:bookmarkEnd w:id="287"/>
    </w:p>
    <w:p>
      <w:pPr>
        <w:spacing w:line="360" w:lineRule="exact"/>
        <w:ind w:firstLine="420" w:firstLineChars="200"/>
        <w:rPr>
          <w:rFonts w:ascii="宋体" w:cs="仿宋"/>
          <w:snapToGrid w:val="0"/>
          <w:kern w:val="0"/>
          <w:szCs w:val="21"/>
        </w:rPr>
      </w:pPr>
      <w:bookmarkStart w:id="288" w:name="_Toc330980434"/>
      <w:bookmarkStart w:id="289" w:name="_Toc333404498"/>
      <w:bookmarkStart w:id="290" w:name="_Toc362250503"/>
      <w:r>
        <w:rPr>
          <w:rFonts w:hint="eastAsia" w:ascii="宋体" w:cs="仿宋"/>
          <w:snapToGrid w:val="0"/>
          <w:kern w:val="0"/>
          <w:szCs w:val="21"/>
        </w:rPr>
        <w:t>6.1.1  评标由招标人依法组建的评标委员会负责。评标委员会组建见投标人须知前附表。</w:t>
      </w:r>
      <w:bookmarkEnd w:id="288"/>
      <w:bookmarkEnd w:id="289"/>
      <w:bookmarkEnd w:id="290"/>
    </w:p>
    <w:p>
      <w:pPr>
        <w:spacing w:line="360" w:lineRule="exact"/>
        <w:ind w:firstLine="420" w:firstLineChars="200"/>
        <w:rPr>
          <w:rFonts w:ascii="宋体" w:cs="仿宋"/>
          <w:snapToGrid w:val="0"/>
          <w:kern w:val="0"/>
          <w:szCs w:val="21"/>
        </w:rPr>
      </w:pPr>
      <w:r>
        <w:rPr>
          <w:rFonts w:hint="eastAsia" w:ascii="宋体" w:cs="仿宋"/>
          <w:snapToGrid w:val="0"/>
          <w:kern w:val="0"/>
          <w:szCs w:val="21"/>
        </w:rPr>
        <w:t>6.1.2  评标委员会成员有下列情形之一的，应当回避：</w:t>
      </w:r>
    </w:p>
    <w:p>
      <w:pPr>
        <w:spacing w:line="360" w:lineRule="exact"/>
        <w:ind w:firstLine="420" w:firstLineChars="200"/>
        <w:rPr>
          <w:rFonts w:ascii="宋体" w:cs="仿宋"/>
          <w:snapToGrid w:val="0"/>
          <w:kern w:val="0"/>
          <w:szCs w:val="21"/>
        </w:rPr>
      </w:pPr>
      <w:r>
        <w:rPr>
          <w:rFonts w:hint="eastAsia" w:ascii="宋体" w:cs="仿宋"/>
          <w:snapToGrid w:val="0"/>
          <w:kern w:val="0"/>
          <w:szCs w:val="21"/>
        </w:rPr>
        <w:t>（1）招标人或投标人的主要负责人的近亲属；</w:t>
      </w:r>
    </w:p>
    <w:p>
      <w:pPr>
        <w:spacing w:line="360" w:lineRule="exact"/>
        <w:ind w:firstLine="420" w:firstLineChars="200"/>
        <w:rPr>
          <w:rFonts w:ascii="宋体" w:cs="仿宋"/>
          <w:snapToGrid w:val="0"/>
          <w:kern w:val="0"/>
          <w:szCs w:val="21"/>
        </w:rPr>
      </w:pPr>
      <w:r>
        <w:rPr>
          <w:rFonts w:hint="eastAsia" w:ascii="宋体" w:cs="仿宋"/>
          <w:snapToGrid w:val="0"/>
          <w:kern w:val="0"/>
          <w:szCs w:val="21"/>
        </w:rPr>
        <w:t>（2）项目主管部门或者行政监督部门的人员；</w:t>
      </w:r>
    </w:p>
    <w:p>
      <w:pPr>
        <w:spacing w:line="360" w:lineRule="exact"/>
        <w:ind w:firstLine="420" w:firstLineChars="200"/>
        <w:rPr>
          <w:rFonts w:ascii="宋体" w:cs="仿宋"/>
          <w:snapToGrid w:val="0"/>
          <w:kern w:val="0"/>
          <w:szCs w:val="21"/>
        </w:rPr>
      </w:pPr>
      <w:r>
        <w:rPr>
          <w:rFonts w:hint="eastAsia" w:ascii="宋体" w:cs="仿宋"/>
          <w:snapToGrid w:val="0"/>
          <w:kern w:val="0"/>
          <w:szCs w:val="21"/>
        </w:rPr>
        <w:t>（3）与投标人有经济利益关系，可能影响对投标公正评审的；</w:t>
      </w:r>
    </w:p>
    <w:p>
      <w:pPr>
        <w:spacing w:line="360" w:lineRule="exact"/>
        <w:ind w:firstLine="420" w:firstLineChars="200"/>
        <w:rPr>
          <w:rFonts w:ascii="宋体" w:cs="仿宋"/>
          <w:snapToGrid w:val="0"/>
          <w:kern w:val="0"/>
          <w:szCs w:val="21"/>
        </w:rPr>
      </w:pPr>
      <w:r>
        <w:rPr>
          <w:rFonts w:hint="eastAsia" w:ascii="宋体" w:cs="仿宋"/>
          <w:snapToGrid w:val="0"/>
          <w:kern w:val="0"/>
          <w:szCs w:val="21"/>
        </w:rPr>
        <w:t>（4）曾因在比选、评标以及其他与比选投标有关活动中从事违法行为而受过行政处罚或刑事处罚的。</w:t>
      </w:r>
    </w:p>
    <w:p>
      <w:pPr>
        <w:pStyle w:val="6"/>
        <w:snapToGrid w:val="0"/>
        <w:spacing w:before="0" w:after="0" w:line="400" w:lineRule="exact"/>
        <w:rPr>
          <w:rFonts w:ascii="宋体" w:cs="仿宋"/>
          <w:snapToGrid w:val="0"/>
          <w:sz w:val="21"/>
          <w:szCs w:val="21"/>
        </w:rPr>
      </w:pPr>
      <w:bookmarkStart w:id="291" w:name="_Toc322559616"/>
      <w:bookmarkStart w:id="292" w:name="_Toc325910589"/>
      <w:bookmarkStart w:id="293" w:name="_Toc20551"/>
      <w:bookmarkStart w:id="294" w:name="_Toc298010284"/>
      <w:bookmarkStart w:id="295" w:name="_Toc322559192"/>
      <w:bookmarkStart w:id="296" w:name="_Toc296674672"/>
      <w:bookmarkStart w:id="297" w:name="_Toc200513162"/>
      <w:r>
        <w:rPr>
          <w:rFonts w:hint="eastAsia" w:ascii="宋体" w:cs="仿宋"/>
          <w:snapToGrid w:val="0"/>
          <w:sz w:val="21"/>
          <w:szCs w:val="21"/>
        </w:rPr>
        <w:t>6.2 评标原则</w:t>
      </w:r>
      <w:bookmarkEnd w:id="291"/>
      <w:bookmarkEnd w:id="292"/>
      <w:bookmarkEnd w:id="293"/>
      <w:bookmarkEnd w:id="294"/>
      <w:bookmarkEnd w:id="295"/>
      <w:bookmarkEnd w:id="296"/>
      <w:bookmarkEnd w:id="297"/>
    </w:p>
    <w:p>
      <w:pPr>
        <w:autoSpaceDE w:val="0"/>
        <w:autoSpaceDN w:val="0"/>
        <w:adjustRightInd w:val="0"/>
        <w:snapToGrid w:val="0"/>
        <w:spacing w:line="400" w:lineRule="exact"/>
        <w:jc w:val="left"/>
        <w:rPr>
          <w:rFonts w:ascii="宋体" w:cs="仿宋"/>
          <w:snapToGrid w:val="0"/>
          <w:kern w:val="0"/>
          <w:szCs w:val="21"/>
        </w:rPr>
      </w:pPr>
      <w:r>
        <w:rPr>
          <w:rFonts w:ascii="宋体" w:cs="仿宋"/>
          <w:snapToGrid w:val="0"/>
          <w:kern w:val="0"/>
          <w:sz w:val="20"/>
        </w:rPr>
        <w:t xml:space="preserve">   </w:t>
      </w:r>
      <w:r>
        <w:rPr>
          <w:rFonts w:hint="eastAsia" w:ascii="宋体" w:cs="仿宋"/>
          <w:snapToGrid w:val="0"/>
          <w:kern w:val="0"/>
          <w:szCs w:val="21"/>
        </w:rPr>
        <w:t xml:space="preserve"> 评标活动遵循公平、公正、科学和择优的原则。</w:t>
      </w:r>
    </w:p>
    <w:p>
      <w:pPr>
        <w:pStyle w:val="6"/>
        <w:snapToGrid w:val="0"/>
        <w:spacing w:before="0" w:after="0" w:line="400" w:lineRule="exact"/>
        <w:rPr>
          <w:rFonts w:ascii="宋体" w:cs="仿宋"/>
          <w:snapToGrid w:val="0"/>
          <w:sz w:val="21"/>
          <w:szCs w:val="21"/>
        </w:rPr>
      </w:pPr>
      <w:bookmarkStart w:id="298" w:name="_Toc200513163"/>
      <w:bookmarkStart w:id="299" w:name="_Toc325910590"/>
      <w:bookmarkStart w:id="300" w:name="_Toc322559617"/>
      <w:bookmarkStart w:id="301" w:name="_Toc322559193"/>
      <w:bookmarkStart w:id="302" w:name="_Toc26056"/>
      <w:bookmarkStart w:id="303" w:name="_Toc296674673"/>
      <w:bookmarkStart w:id="304" w:name="_Toc298010285"/>
      <w:r>
        <w:rPr>
          <w:rFonts w:hint="eastAsia" w:ascii="宋体" w:cs="仿宋"/>
          <w:snapToGrid w:val="0"/>
          <w:sz w:val="21"/>
          <w:szCs w:val="21"/>
        </w:rPr>
        <w:t>6.3 评标</w:t>
      </w:r>
      <w:bookmarkEnd w:id="298"/>
      <w:bookmarkEnd w:id="299"/>
      <w:bookmarkEnd w:id="300"/>
      <w:bookmarkEnd w:id="301"/>
      <w:bookmarkEnd w:id="302"/>
      <w:bookmarkEnd w:id="303"/>
      <w:bookmarkEnd w:id="304"/>
    </w:p>
    <w:p>
      <w:pPr>
        <w:autoSpaceDE w:val="0"/>
        <w:autoSpaceDN w:val="0"/>
        <w:adjustRightInd w:val="0"/>
        <w:snapToGrid w:val="0"/>
        <w:spacing w:line="400" w:lineRule="exact"/>
        <w:jc w:val="left"/>
        <w:rPr>
          <w:rFonts w:ascii="宋体" w:cs="仿宋"/>
          <w:snapToGrid w:val="0"/>
          <w:kern w:val="0"/>
          <w:szCs w:val="21"/>
        </w:rPr>
      </w:pPr>
      <w:r>
        <w:rPr>
          <w:rFonts w:hint="eastAsia" w:ascii="宋体" w:cs="仿宋"/>
          <w:snapToGrid w:val="0"/>
          <w:kern w:val="0"/>
          <w:szCs w:val="21"/>
        </w:rPr>
        <w:t xml:space="preserve">   评标委员会按照第三章“评标办法”规定的方法、评审因素、标准和程序对投标文件进行评审。第三章“评标办法”没有规定的方法、评审因素和标准，不作为评标依据。</w:t>
      </w:r>
    </w:p>
    <w:p>
      <w:pPr>
        <w:pStyle w:val="5"/>
        <w:spacing w:before="0" w:after="0" w:line="380" w:lineRule="exact"/>
        <w:rPr>
          <w:rFonts w:ascii="宋体" w:eastAsia="宋体" w:cs="仿宋"/>
          <w:snapToGrid w:val="0"/>
          <w:sz w:val="24"/>
          <w:szCs w:val="24"/>
        </w:rPr>
      </w:pPr>
      <w:bookmarkStart w:id="305" w:name="_Toc322559618"/>
      <w:bookmarkStart w:id="306" w:name="_Toc325910591"/>
      <w:bookmarkStart w:id="307" w:name="_Toc12915"/>
      <w:bookmarkStart w:id="308" w:name="_Toc298010286"/>
      <w:bookmarkStart w:id="309" w:name="_Toc200513164"/>
      <w:r>
        <w:rPr>
          <w:rFonts w:ascii="宋体" w:eastAsia="宋体" w:cs="仿宋"/>
          <w:snapToGrid w:val="0"/>
          <w:sz w:val="24"/>
          <w:szCs w:val="24"/>
        </w:rPr>
        <w:t xml:space="preserve">7. </w:t>
      </w:r>
      <w:r>
        <w:rPr>
          <w:rFonts w:hint="eastAsia" w:ascii="宋体" w:eastAsia="宋体" w:cs="仿宋"/>
          <w:snapToGrid w:val="0"/>
          <w:sz w:val="24"/>
          <w:szCs w:val="24"/>
        </w:rPr>
        <w:t>合同授予</w:t>
      </w:r>
      <w:bookmarkEnd w:id="305"/>
      <w:bookmarkEnd w:id="306"/>
      <w:bookmarkEnd w:id="307"/>
      <w:bookmarkEnd w:id="308"/>
      <w:bookmarkEnd w:id="309"/>
    </w:p>
    <w:p>
      <w:pPr>
        <w:pStyle w:val="6"/>
        <w:snapToGrid w:val="0"/>
        <w:spacing w:before="0" w:after="0" w:line="380" w:lineRule="exact"/>
        <w:rPr>
          <w:rFonts w:ascii="宋体" w:cs="仿宋"/>
          <w:snapToGrid w:val="0"/>
          <w:sz w:val="21"/>
          <w:szCs w:val="21"/>
        </w:rPr>
      </w:pPr>
      <w:bookmarkStart w:id="310" w:name="_Toc298010287"/>
      <w:bookmarkStart w:id="311" w:name="_Toc325910592"/>
      <w:bookmarkStart w:id="312" w:name="_Toc27801"/>
      <w:bookmarkStart w:id="313" w:name="_Toc296674675"/>
      <w:bookmarkStart w:id="314" w:name="_Toc200513165"/>
      <w:bookmarkStart w:id="315" w:name="_Toc322559619"/>
      <w:r>
        <w:rPr>
          <w:rFonts w:hint="eastAsia" w:ascii="宋体" w:cs="仿宋"/>
          <w:snapToGrid w:val="0"/>
          <w:sz w:val="21"/>
          <w:szCs w:val="21"/>
        </w:rPr>
        <w:t>7.1 定标方式</w:t>
      </w:r>
      <w:bookmarkEnd w:id="310"/>
      <w:bookmarkEnd w:id="311"/>
      <w:bookmarkEnd w:id="312"/>
      <w:bookmarkEnd w:id="313"/>
      <w:bookmarkEnd w:id="314"/>
      <w:bookmarkEnd w:id="315"/>
    </w:p>
    <w:p>
      <w:pPr>
        <w:autoSpaceDE w:val="0"/>
        <w:autoSpaceDN w:val="0"/>
        <w:adjustRightInd w:val="0"/>
        <w:snapToGrid w:val="0"/>
        <w:spacing w:line="380" w:lineRule="exact"/>
        <w:jc w:val="left"/>
        <w:rPr>
          <w:rFonts w:ascii="宋体" w:cs="仿宋"/>
          <w:snapToGrid w:val="0"/>
          <w:kern w:val="0"/>
          <w:szCs w:val="21"/>
        </w:rPr>
      </w:pPr>
      <w:bookmarkStart w:id="316" w:name="_Toc325910593"/>
      <w:bookmarkStart w:id="317" w:name="_Toc296674676"/>
      <w:bookmarkStart w:id="318" w:name="_Toc200513166"/>
      <w:bookmarkStart w:id="319" w:name="_Toc322559620"/>
      <w:bookmarkStart w:id="320" w:name="_Toc298010288"/>
      <w:r>
        <w:rPr>
          <w:rFonts w:hint="eastAsia" w:ascii="宋体" w:cs="仿宋"/>
          <w:snapToGrid w:val="0"/>
          <w:kern w:val="0"/>
          <w:szCs w:val="21"/>
        </w:rPr>
        <w:t xml:space="preserve">   7.1.1 招标人依据评标委员会推荐的中标候选人确定中标人，评标委员会推荐中标候选人的人数见投标人须知前附表。</w:t>
      </w:r>
    </w:p>
    <w:p>
      <w:pPr>
        <w:autoSpaceDE w:val="0"/>
        <w:autoSpaceDN w:val="0"/>
        <w:adjustRightInd w:val="0"/>
        <w:snapToGrid w:val="0"/>
        <w:spacing w:line="380" w:lineRule="exact"/>
        <w:jc w:val="left"/>
        <w:rPr>
          <w:rFonts w:ascii="宋体" w:cs="仿宋"/>
          <w:snapToGrid w:val="0"/>
          <w:kern w:val="0"/>
          <w:szCs w:val="21"/>
        </w:rPr>
      </w:pPr>
      <w:r>
        <w:rPr>
          <w:rFonts w:hint="eastAsia" w:ascii="宋体" w:cs="仿宋"/>
          <w:snapToGrid w:val="0"/>
          <w:kern w:val="0"/>
          <w:szCs w:val="21"/>
        </w:rPr>
        <w:t xml:space="preserve">   7.1.2 排名第一的中标候选人放弃中标、或因不可抗力不能履行合同、或未依据比选文件在规定的期限内提交履约保证金的，或者被查实存在影响中标结果的违法行为等情形，不符合中标条件的，招标人可以按照评标委员会提出的中标候选人名单排序依次确定其他中标候选人为中标人，也可以重新比选。排名第一的中标候选人放弃中标后，排名第二或第三的中标候选人按次序被确定为中标人的，其投标价格高于第一中标候选人投标价格的，须以第一中标候选人的投标价格为中标价格，其投标价格低于第一中标人投标价格的，以其实际投标价格为中标价格。</w:t>
      </w:r>
    </w:p>
    <w:p>
      <w:pPr>
        <w:pStyle w:val="6"/>
        <w:snapToGrid w:val="0"/>
        <w:spacing w:before="0" w:after="0" w:line="380" w:lineRule="exact"/>
        <w:rPr>
          <w:rFonts w:ascii="宋体" w:cs="仿宋"/>
          <w:snapToGrid w:val="0"/>
          <w:sz w:val="21"/>
          <w:szCs w:val="21"/>
        </w:rPr>
      </w:pPr>
      <w:bookmarkStart w:id="321" w:name="_Toc18086"/>
      <w:r>
        <w:rPr>
          <w:rFonts w:hint="eastAsia" w:ascii="宋体" w:cs="仿宋"/>
          <w:snapToGrid w:val="0"/>
          <w:sz w:val="21"/>
          <w:szCs w:val="21"/>
        </w:rPr>
        <w:t>7.2 中</w:t>
      </w:r>
      <w:bookmarkEnd w:id="316"/>
      <w:bookmarkEnd w:id="317"/>
      <w:bookmarkEnd w:id="318"/>
      <w:bookmarkEnd w:id="319"/>
      <w:bookmarkEnd w:id="320"/>
      <w:bookmarkEnd w:id="321"/>
      <w:r>
        <w:rPr>
          <w:rFonts w:hint="eastAsia" w:ascii="宋体" w:cs="仿宋"/>
          <w:snapToGrid w:val="0"/>
          <w:sz w:val="21"/>
          <w:szCs w:val="21"/>
        </w:rPr>
        <w:t>标公示及中标通知</w:t>
      </w:r>
    </w:p>
    <w:p>
      <w:pPr>
        <w:autoSpaceDE w:val="0"/>
        <w:autoSpaceDN w:val="0"/>
        <w:adjustRightInd w:val="0"/>
        <w:snapToGrid w:val="0"/>
        <w:spacing w:line="380" w:lineRule="exact"/>
        <w:jc w:val="left"/>
        <w:rPr>
          <w:rFonts w:ascii="宋体" w:cs="仿宋"/>
          <w:snapToGrid w:val="0"/>
          <w:kern w:val="0"/>
          <w:szCs w:val="21"/>
        </w:rPr>
      </w:pPr>
      <w:bookmarkStart w:id="322" w:name="_Toc325910594"/>
      <w:bookmarkStart w:id="323" w:name="_Toc200513167"/>
      <w:bookmarkStart w:id="324" w:name="_Toc296674677"/>
      <w:bookmarkStart w:id="325" w:name="_Toc322559621"/>
      <w:bookmarkStart w:id="326" w:name="_Toc298010289"/>
      <w:r>
        <w:rPr>
          <w:rFonts w:hint="eastAsia" w:ascii="宋体" w:cs="仿宋"/>
          <w:snapToGrid w:val="0"/>
          <w:kern w:val="0"/>
          <w:szCs w:val="21"/>
        </w:rPr>
        <w:t xml:space="preserve">   比选人在收到评标报告之日起3日内公示中标候选人，公示期不得少于3日。</w:t>
      </w:r>
    </w:p>
    <w:p>
      <w:pPr>
        <w:pStyle w:val="6"/>
        <w:snapToGrid w:val="0"/>
        <w:spacing w:before="0" w:after="0" w:line="380" w:lineRule="exact"/>
        <w:rPr>
          <w:rFonts w:ascii="宋体" w:cs="仿宋"/>
          <w:snapToGrid w:val="0"/>
          <w:sz w:val="21"/>
          <w:szCs w:val="21"/>
        </w:rPr>
      </w:pPr>
      <w:bookmarkStart w:id="327" w:name="_Toc9264"/>
      <w:r>
        <w:rPr>
          <w:rFonts w:hint="eastAsia" w:ascii="宋体" w:cs="仿宋"/>
          <w:snapToGrid w:val="0"/>
          <w:sz w:val="21"/>
          <w:szCs w:val="21"/>
        </w:rPr>
        <w:t>7.3 履约</w:t>
      </w:r>
      <w:bookmarkEnd w:id="322"/>
      <w:bookmarkEnd w:id="323"/>
      <w:bookmarkEnd w:id="324"/>
      <w:bookmarkEnd w:id="325"/>
      <w:bookmarkEnd w:id="326"/>
      <w:r>
        <w:rPr>
          <w:rFonts w:hint="eastAsia" w:ascii="宋体" w:cs="仿宋"/>
          <w:snapToGrid w:val="0"/>
          <w:sz w:val="21"/>
          <w:szCs w:val="21"/>
        </w:rPr>
        <w:t>保证金</w:t>
      </w:r>
      <w:bookmarkEnd w:id="327"/>
    </w:p>
    <w:p>
      <w:pPr>
        <w:autoSpaceDE w:val="0"/>
        <w:autoSpaceDN w:val="0"/>
        <w:adjustRightInd w:val="0"/>
        <w:snapToGrid w:val="0"/>
        <w:spacing w:line="380" w:lineRule="exact"/>
        <w:jc w:val="left"/>
        <w:rPr>
          <w:rFonts w:ascii="宋体" w:cs="仿宋"/>
          <w:snapToGrid w:val="0"/>
          <w:kern w:val="0"/>
          <w:szCs w:val="21"/>
        </w:rPr>
      </w:pPr>
      <w:bookmarkStart w:id="328" w:name="_Toc296674678"/>
      <w:bookmarkStart w:id="329" w:name="_Toc200513168"/>
      <w:bookmarkStart w:id="330" w:name="_Toc322559622"/>
      <w:bookmarkStart w:id="331" w:name="_Toc325910595"/>
      <w:bookmarkStart w:id="332" w:name="_Toc298010290"/>
      <w:r>
        <w:rPr>
          <w:rFonts w:hint="eastAsia" w:ascii="宋体" w:cs="仿宋"/>
          <w:snapToGrid w:val="0"/>
          <w:kern w:val="0"/>
          <w:szCs w:val="21"/>
        </w:rPr>
        <w:t xml:space="preserve">   7.3.1中标人收到中标通知书后5日内、施工合同签订前按投标人须知前附表规定的金额、形式向招标人提交履约保证金。</w:t>
      </w:r>
    </w:p>
    <w:p>
      <w:pPr>
        <w:autoSpaceDE w:val="0"/>
        <w:autoSpaceDN w:val="0"/>
        <w:adjustRightInd w:val="0"/>
        <w:snapToGrid w:val="0"/>
        <w:spacing w:line="380" w:lineRule="exact"/>
        <w:jc w:val="left"/>
        <w:rPr>
          <w:rFonts w:ascii="宋体" w:cs="仿宋"/>
          <w:snapToGrid w:val="0"/>
          <w:kern w:val="0"/>
          <w:szCs w:val="21"/>
          <w:lang w:val="zh-CN"/>
        </w:rPr>
      </w:pPr>
      <w:r>
        <w:rPr>
          <w:rFonts w:hint="eastAsia" w:ascii="宋体" w:cs="仿宋"/>
          <w:snapToGrid w:val="0"/>
          <w:kern w:val="0"/>
          <w:szCs w:val="21"/>
        </w:rPr>
        <w:t xml:space="preserve">   7.3.2中标人不能按本章7.3.1项要求提交履约担保的，视为放弃中标，其投标保证金不予退还，给招标人造成的损失超过投标保证金数额的，中标人还应当对超过部分予以赔偿。</w:t>
      </w:r>
    </w:p>
    <w:p>
      <w:pPr>
        <w:pStyle w:val="6"/>
        <w:snapToGrid w:val="0"/>
        <w:spacing w:before="0" w:after="0" w:line="380" w:lineRule="exact"/>
        <w:rPr>
          <w:rFonts w:ascii="宋体" w:cs="仿宋"/>
          <w:snapToGrid w:val="0"/>
          <w:sz w:val="21"/>
          <w:szCs w:val="21"/>
        </w:rPr>
      </w:pPr>
      <w:bookmarkStart w:id="333" w:name="_Toc30958"/>
      <w:r>
        <w:rPr>
          <w:rFonts w:hint="eastAsia" w:ascii="宋体" w:cs="仿宋"/>
          <w:snapToGrid w:val="0"/>
          <w:sz w:val="21"/>
          <w:szCs w:val="21"/>
        </w:rPr>
        <w:t>7.4 签订合同</w:t>
      </w:r>
      <w:bookmarkEnd w:id="328"/>
      <w:bookmarkEnd w:id="329"/>
      <w:bookmarkEnd w:id="330"/>
      <w:bookmarkEnd w:id="331"/>
      <w:bookmarkEnd w:id="332"/>
      <w:bookmarkEnd w:id="333"/>
    </w:p>
    <w:p>
      <w:pPr>
        <w:autoSpaceDE w:val="0"/>
        <w:autoSpaceDN w:val="0"/>
        <w:adjustRightInd w:val="0"/>
        <w:snapToGrid w:val="0"/>
        <w:spacing w:line="380" w:lineRule="exact"/>
        <w:jc w:val="left"/>
        <w:rPr>
          <w:rFonts w:ascii="宋体" w:cs="仿宋"/>
          <w:snapToGrid w:val="0"/>
          <w:kern w:val="0"/>
          <w:szCs w:val="21"/>
        </w:rPr>
      </w:pPr>
      <w:r>
        <w:rPr>
          <w:rFonts w:hint="eastAsia" w:ascii="宋体" w:cs="仿宋"/>
          <w:snapToGrid w:val="0"/>
          <w:kern w:val="0"/>
          <w:szCs w:val="21"/>
        </w:rPr>
        <w:t xml:space="preserve">  7.4.1 招标人和中标人应当自中标通知书发出之日起10天内，根据竞争性比选文件和中标人的投标文件订立书面合同。中标人无正当理由拒签合同的，招标人取消其中标资格，其投标保证金不予退还；给招标人造成的损失超过投标保证金数额的，中标人还应当对超过部分予以赔偿。</w:t>
      </w:r>
      <w:bookmarkStart w:id="334" w:name="_Toc325910596"/>
      <w:bookmarkStart w:id="335" w:name="_Toc322559623"/>
      <w:bookmarkStart w:id="336" w:name="_Toc24912"/>
      <w:bookmarkStart w:id="337" w:name="_Toc200513169"/>
      <w:bookmarkStart w:id="338" w:name="_Toc298010291"/>
    </w:p>
    <w:p>
      <w:pPr>
        <w:pStyle w:val="5"/>
        <w:spacing w:before="0" w:after="0" w:line="380" w:lineRule="exact"/>
        <w:rPr>
          <w:rFonts w:ascii="宋体" w:eastAsia="宋体" w:cs="仿宋"/>
          <w:snapToGrid w:val="0"/>
          <w:sz w:val="24"/>
          <w:szCs w:val="24"/>
        </w:rPr>
      </w:pPr>
      <w:r>
        <w:rPr>
          <w:rFonts w:ascii="宋体" w:eastAsia="宋体" w:cs="仿宋"/>
          <w:snapToGrid w:val="0"/>
          <w:sz w:val="24"/>
          <w:szCs w:val="24"/>
        </w:rPr>
        <w:t xml:space="preserve">8. </w:t>
      </w:r>
      <w:r>
        <w:rPr>
          <w:rFonts w:hint="eastAsia" w:ascii="宋体" w:eastAsia="宋体" w:cs="仿宋"/>
          <w:snapToGrid w:val="0"/>
          <w:sz w:val="24"/>
          <w:szCs w:val="24"/>
        </w:rPr>
        <w:t>重新比选和不再</w:t>
      </w:r>
      <w:bookmarkEnd w:id="334"/>
      <w:bookmarkEnd w:id="335"/>
      <w:bookmarkEnd w:id="336"/>
      <w:bookmarkEnd w:id="337"/>
      <w:bookmarkEnd w:id="338"/>
      <w:r>
        <w:rPr>
          <w:rFonts w:hint="eastAsia" w:ascii="宋体" w:eastAsia="宋体" w:cs="仿宋"/>
          <w:snapToGrid w:val="0"/>
          <w:sz w:val="24"/>
          <w:szCs w:val="24"/>
        </w:rPr>
        <w:t>比选</w:t>
      </w:r>
    </w:p>
    <w:p>
      <w:pPr>
        <w:pStyle w:val="6"/>
        <w:snapToGrid w:val="0"/>
        <w:spacing w:before="0" w:after="0" w:line="380" w:lineRule="exact"/>
        <w:rPr>
          <w:rFonts w:ascii="宋体" w:cs="仿宋"/>
          <w:snapToGrid w:val="0"/>
          <w:sz w:val="21"/>
          <w:szCs w:val="21"/>
        </w:rPr>
      </w:pPr>
      <w:bookmarkStart w:id="339" w:name="_Toc200513170"/>
      <w:bookmarkStart w:id="340" w:name="_Toc296674680"/>
      <w:bookmarkStart w:id="341" w:name="_Toc325910597"/>
      <w:bookmarkStart w:id="342" w:name="_Toc322559624"/>
      <w:bookmarkStart w:id="343" w:name="_Toc10310"/>
      <w:bookmarkStart w:id="344" w:name="_Toc298010292"/>
      <w:r>
        <w:rPr>
          <w:rFonts w:hint="eastAsia" w:ascii="宋体" w:cs="仿宋"/>
          <w:snapToGrid w:val="0"/>
          <w:sz w:val="21"/>
          <w:szCs w:val="21"/>
        </w:rPr>
        <w:t>8.1 重新</w:t>
      </w:r>
      <w:bookmarkEnd w:id="339"/>
      <w:bookmarkEnd w:id="340"/>
      <w:bookmarkEnd w:id="341"/>
      <w:bookmarkEnd w:id="342"/>
      <w:bookmarkEnd w:id="343"/>
      <w:bookmarkEnd w:id="344"/>
      <w:r>
        <w:rPr>
          <w:rFonts w:hint="eastAsia" w:ascii="宋体" w:cs="仿宋"/>
          <w:snapToGrid w:val="0"/>
          <w:sz w:val="21"/>
          <w:szCs w:val="21"/>
        </w:rPr>
        <w:t>比选</w:t>
      </w:r>
    </w:p>
    <w:p>
      <w:pPr>
        <w:autoSpaceDE w:val="0"/>
        <w:autoSpaceDN w:val="0"/>
        <w:adjustRightInd w:val="0"/>
        <w:snapToGrid w:val="0"/>
        <w:spacing w:line="360" w:lineRule="auto"/>
        <w:ind w:firstLine="420"/>
        <w:rPr>
          <w:rFonts w:ascii="宋体" w:hAnsi="宋体" w:cs="MingLiU"/>
          <w:snapToGrid w:val="0"/>
          <w:kern w:val="0"/>
          <w:szCs w:val="21"/>
        </w:rPr>
      </w:pPr>
      <w:bookmarkStart w:id="345" w:name="_Toc325910598"/>
      <w:bookmarkStart w:id="346" w:name="_Toc298010293"/>
      <w:bookmarkStart w:id="347" w:name="_Toc200513171"/>
      <w:bookmarkStart w:id="348" w:name="_Toc296674681"/>
      <w:bookmarkStart w:id="349" w:name="_Toc322559625"/>
      <w:r>
        <w:rPr>
          <w:rFonts w:hint="eastAsia" w:ascii="宋体" w:hAnsi="宋体" w:cs="MingLiU"/>
          <w:snapToGrid w:val="0"/>
          <w:kern w:val="0"/>
          <w:szCs w:val="21"/>
        </w:rPr>
        <w:t>有下列情形之一的，比选人将重新比选：</w:t>
      </w:r>
    </w:p>
    <w:p>
      <w:pPr>
        <w:autoSpaceDE w:val="0"/>
        <w:autoSpaceDN w:val="0"/>
        <w:adjustRightInd w:val="0"/>
        <w:snapToGrid w:val="0"/>
        <w:spacing w:line="360" w:lineRule="auto"/>
        <w:ind w:firstLine="420"/>
        <w:rPr>
          <w:rFonts w:ascii="宋体" w:hAnsi="宋体" w:cs="MingLiU"/>
          <w:snapToGrid w:val="0"/>
          <w:kern w:val="0"/>
          <w:szCs w:val="21"/>
        </w:rPr>
      </w:pPr>
      <w:r>
        <w:rPr>
          <w:rFonts w:hint="eastAsia" w:ascii="宋体" w:hAnsi="宋体" w:cs="MingLiU"/>
          <w:snapToGrid w:val="0"/>
          <w:kern w:val="0"/>
          <w:szCs w:val="21"/>
        </w:rPr>
        <w:t>（1）投标截止时间止，投标人少于 3 个的；</w:t>
      </w:r>
    </w:p>
    <w:p>
      <w:pPr>
        <w:autoSpaceDE w:val="0"/>
        <w:autoSpaceDN w:val="0"/>
        <w:adjustRightInd w:val="0"/>
        <w:snapToGrid w:val="0"/>
        <w:spacing w:line="360" w:lineRule="auto"/>
        <w:ind w:firstLine="420"/>
        <w:rPr>
          <w:rFonts w:ascii="宋体" w:hAnsi="宋体" w:cs="MingLiU"/>
          <w:snapToGrid w:val="0"/>
          <w:kern w:val="0"/>
          <w:szCs w:val="21"/>
        </w:rPr>
      </w:pPr>
      <w:r>
        <w:rPr>
          <w:rFonts w:hint="eastAsia" w:ascii="宋体" w:hAnsi="宋体" w:cs="MingLiU"/>
          <w:snapToGrid w:val="0"/>
          <w:kern w:val="0"/>
          <w:szCs w:val="21"/>
        </w:rPr>
        <w:t>（2）经评标委员会评审后否决所有投标的；</w:t>
      </w:r>
    </w:p>
    <w:p>
      <w:pPr>
        <w:autoSpaceDE w:val="0"/>
        <w:autoSpaceDN w:val="0"/>
        <w:adjustRightInd w:val="0"/>
        <w:snapToGrid w:val="0"/>
        <w:spacing w:line="360" w:lineRule="auto"/>
        <w:ind w:firstLine="420"/>
        <w:rPr>
          <w:rFonts w:ascii="宋体" w:hAnsi="宋体" w:cs="MingLiU"/>
          <w:snapToGrid w:val="0"/>
          <w:kern w:val="0"/>
          <w:szCs w:val="21"/>
        </w:rPr>
      </w:pPr>
      <w:r>
        <w:rPr>
          <w:rFonts w:hint="eastAsia" w:ascii="宋体" w:hAnsi="宋体" w:cs="MingLiU"/>
          <w:snapToGrid w:val="0"/>
          <w:kern w:val="0"/>
          <w:szCs w:val="21"/>
        </w:rPr>
        <w:t>（3）经评审后，如合格的投标人少于三个的，且明显缺乏竞争的，评标委员会可以否决全部投标，比选人将重新组织比选。</w:t>
      </w:r>
    </w:p>
    <w:p>
      <w:pPr>
        <w:autoSpaceDE w:val="0"/>
        <w:autoSpaceDN w:val="0"/>
        <w:adjustRightInd w:val="0"/>
        <w:snapToGrid w:val="0"/>
        <w:spacing w:line="360" w:lineRule="auto"/>
        <w:ind w:firstLine="420"/>
        <w:rPr>
          <w:rFonts w:ascii="宋体" w:cs="仿宋"/>
          <w:snapToGrid w:val="0"/>
          <w:kern w:val="0"/>
          <w:szCs w:val="21"/>
        </w:rPr>
      </w:pPr>
      <w:r>
        <w:rPr>
          <w:rFonts w:hint="eastAsia" w:ascii="宋体" w:hAnsi="宋体" w:cs="MingLiU"/>
          <w:snapToGrid w:val="0"/>
          <w:kern w:val="0"/>
          <w:szCs w:val="21"/>
        </w:rPr>
        <w:t>（4）法律法规规定的其他情形。</w:t>
      </w:r>
    </w:p>
    <w:p>
      <w:pPr>
        <w:pStyle w:val="6"/>
        <w:snapToGrid w:val="0"/>
        <w:spacing w:before="0" w:after="0" w:line="380" w:lineRule="exact"/>
        <w:rPr>
          <w:rFonts w:ascii="宋体" w:cs="仿宋"/>
          <w:snapToGrid w:val="0"/>
          <w:sz w:val="21"/>
          <w:szCs w:val="21"/>
        </w:rPr>
      </w:pPr>
      <w:bookmarkStart w:id="350" w:name="_Toc30531"/>
      <w:r>
        <w:rPr>
          <w:rFonts w:hint="eastAsia" w:ascii="宋体" w:cs="仿宋"/>
          <w:snapToGrid w:val="0"/>
          <w:sz w:val="21"/>
          <w:szCs w:val="21"/>
        </w:rPr>
        <w:t>8.2  二次比选和不再</w:t>
      </w:r>
      <w:bookmarkEnd w:id="345"/>
      <w:bookmarkEnd w:id="346"/>
      <w:bookmarkEnd w:id="347"/>
      <w:bookmarkEnd w:id="348"/>
      <w:bookmarkEnd w:id="349"/>
      <w:bookmarkEnd w:id="350"/>
      <w:r>
        <w:rPr>
          <w:rFonts w:hint="eastAsia" w:ascii="宋体" w:cs="仿宋"/>
          <w:snapToGrid w:val="0"/>
          <w:sz w:val="21"/>
          <w:szCs w:val="21"/>
        </w:rPr>
        <w:t>比选</w:t>
      </w:r>
    </w:p>
    <w:p>
      <w:pPr>
        <w:autoSpaceDE w:val="0"/>
        <w:autoSpaceDN w:val="0"/>
        <w:adjustRightInd w:val="0"/>
        <w:snapToGrid w:val="0"/>
        <w:spacing w:line="380" w:lineRule="exact"/>
        <w:jc w:val="left"/>
        <w:rPr>
          <w:rFonts w:ascii="宋体" w:cs="仿宋"/>
          <w:snapToGrid w:val="0"/>
          <w:kern w:val="0"/>
          <w:szCs w:val="21"/>
        </w:rPr>
      </w:pPr>
      <w:r>
        <w:rPr>
          <w:rFonts w:hint="eastAsia" w:ascii="宋体" w:cs="仿宋"/>
          <w:snapToGrid w:val="0"/>
          <w:kern w:val="0"/>
          <w:szCs w:val="21"/>
        </w:rPr>
        <w:t xml:space="preserve">     重新比选后投标人仍少于3 个的，按法定程序开标和定标确定中标人，经评审无合格投标人，属于必须审批或核准的工程建设项目，经原审批或核准部门批准后不再进行比选。</w:t>
      </w:r>
    </w:p>
    <w:p>
      <w:pPr>
        <w:pStyle w:val="5"/>
        <w:spacing w:before="0" w:after="0" w:line="380" w:lineRule="exact"/>
        <w:rPr>
          <w:rFonts w:ascii="宋体" w:eastAsia="宋体" w:cs="仿宋"/>
          <w:snapToGrid w:val="0"/>
          <w:sz w:val="24"/>
          <w:szCs w:val="24"/>
        </w:rPr>
      </w:pPr>
      <w:bookmarkStart w:id="351" w:name="_Toc325910599"/>
      <w:bookmarkStart w:id="352" w:name="_Toc322559626"/>
      <w:bookmarkStart w:id="353" w:name="_Toc29218"/>
      <w:bookmarkStart w:id="354" w:name="_Toc298010294"/>
      <w:bookmarkStart w:id="355" w:name="_Toc200513172"/>
      <w:r>
        <w:rPr>
          <w:rFonts w:ascii="宋体" w:eastAsia="宋体" w:cs="仿宋"/>
          <w:snapToGrid w:val="0"/>
          <w:sz w:val="24"/>
          <w:szCs w:val="24"/>
        </w:rPr>
        <w:t xml:space="preserve">9. </w:t>
      </w:r>
      <w:r>
        <w:rPr>
          <w:rFonts w:hint="eastAsia" w:ascii="宋体" w:eastAsia="宋体" w:cs="仿宋"/>
          <w:snapToGrid w:val="0"/>
          <w:sz w:val="24"/>
          <w:szCs w:val="24"/>
        </w:rPr>
        <w:t>纪律和监督</w:t>
      </w:r>
      <w:bookmarkEnd w:id="351"/>
      <w:bookmarkEnd w:id="352"/>
      <w:bookmarkEnd w:id="353"/>
      <w:bookmarkEnd w:id="354"/>
      <w:bookmarkEnd w:id="355"/>
    </w:p>
    <w:p>
      <w:pPr>
        <w:pStyle w:val="6"/>
        <w:snapToGrid w:val="0"/>
        <w:spacing w:before="0" w:after="0" w:line="380" w:lineRule="exact"/>
        <w:rPr>
          <w:rFonts w:ascii="宋体" w:cs="仿宋"/>
          <w:snapToGrid w:val="0"/>
          <w:sz w:val="21"/>
          <w:szCs w:val="21"/>
        </w:rPr>
      </w:pPr>
      <w:bookmarkStart w:id="356" w:name="_Toc322559627"/>
      <w:bookmarkStart w:id="357" w:name="_Toc200513173"/>
      <w:bookmarkStart w:id="358" w:name="_Toc4019"/>
      <w:bookmarkStart w:id="359" w:name="_Toc298010295"/>
      <w:bookmarkStart w:id="360" w:name="_Toc296674683"/>
      <w:bookmarkStart w:id="361" w:name="_Toc325910600"/>
      <w:r>
        <w:rPr>
          <w:rFonts w:hint="eastAsia" w:ascii="宋体" w:cs="仿宋"/>
          <w:snapToGrid w:val="0"/>
          <w:sz w:val="21"/>
          <w:szCs w:val="21"/>
        </w:rPr>
        <w:t>9.1 对招标人的纪律要求</w:t>
      </w:r>
      <w:bookmarkEnd w:id="356"/>
      <w:bookmarkEnd w:id="357"/>
      <w:bookmarkEnd w:id="358"/>
      <w:bookmarkEnd w:id="359"/>
      <w:bookmarkEnd w:id="360"/>
      <w:bookmarkEnd w:id="361"/>
    </w:p>
    <w:p>
      <w:pPr>
        <w:autoSpaceDE w:val="0"/>
        <w:autoSpaceDN w:val="0"/>
        <w:adjustRightInd w:val="0"/>
        <w:snapToGrid w:val="0"/>
        <w:spacing w:line="380" w:lineRule="exact"/>
        <w:ind w:firstLine="420" w:firstLineChars="200"/>
        <w:jc w:val="left"/>
        <w:rPr>
          <w:rFonts w:ascii="宋体" w:cs="仿宋"/>
          <w:snapToGrid w:val="0"/>
          <w:kern w:val="0"/>
          <w:szCs w:val="21"/>
        </w:rPr>
      </w:pPr>
      <w:r>
        <w:rPr>
          <w:rFonts w:hint="eastAsia" w:ascii="宋体" w:cs="仿宋"/>
          <w:snapToGrid w:val="0"/>
          <w:kern w:val="0"/>
          <w:szCs w:val="21"/>
        </w:rPr>
        <w:t>招标人不得泄漏竞争性比选投标活动中应当保密的情况和资料，不得与投标人串通损害国家利益、社会公共利益或者他人合法权益，禁止招标人与投标人串通投标。</w:t>
      </w:r>
    </w:p>
    <w:p>
      <w:pPr>
        <w:autoSpaceDE w:val="0"/>
        <w:autoSpaceDN w:val="0"/>
        <w:adjustRightInd w:val="0"/>
        <w:snapToGrid w:val="0"/>
        <w:spacing w:line="380" w:lineRule="exact"/>
        <w:ind w:firstLine="420" w:firstLineChars="200"/>
        <w:jc w:val="left"/>
        <w:rPr>
          <w:rFonts w:ascii="宋体" w:cs="仿宋"/>
          <w:snapToGrid w:val="0"/>
          <w:kern w:val="0"/>
          <w:szCs w:val="21"/>
        </w:rPr>
      </w:pPr>
      <w:r>
        <w:rPr>
          <w:rFonts w:hint="eastAsia" w:ascii="宋体" w:cs="仿宋"/>
          <w:snapToGrid w:val="0"/>
          <w:kern w:val="0"/>
          <w:szCs w:val="21"/>
        </w:rPr>
        <w:t>有下列情形之一的，属于招标人与投标人串通投标：</w:t>
      </w:r>
    </w:p>
    <w:p>
      <w:pPr>
        <w:autoSpaceDE w:val="0"/>
        <w:autoSpaceDN w:val="0"/>
        <w:adjustRightInd w:val="0"/>
        <w:snapToGrid w:val="0"/>
        <w:spacing w:line="380" w:lineRule="exact"/>
        <w:ind w:firstLine="420" w:firstLineChars="200"/>
        <w:jc w:val="left"/>
        <w:rPr>
          <w:rFonts w:ascii="宋体" w:cs="仿宋"/>
          <w:snapToGrid w:val="0"/>
          <w:kern w:val="0"/>
          <w:szCs w:val="21"/>
        </w:rPr>
      </w:pPr>
      <w:r>
        <w:rPr>
          <w:rFonts w:hint="eastAsia" w:ascii="宋体" w:cs="仿宋"/>
          <w:snapToGrid w:val="0"/>
          <w:kern w:val="0"/>
          <w:szCs w:val="21"/>
        </w:rPr>
        <w:t>（1）招标人在开标前开启投标文件并将有关信息泄露给其他投标人;</w:t>
      </w:r>
    </w:p>
    <w:p>
      <w:pPr>
        <w:autoSpaceDE w:val="0"/>
        <w:autoSpaceDN w:val="0"/>
        <w:adjustRightInd w:val="0"/>
        <w:snapToGrid w:val="0"/>
        <w:spacing w:line="380" w:lineRule="exact"/>
        <w:ind w:firstLine="420" w:firstLineChars="200"/>
        <w:jc w:val="left"/>
        <w:rPr>
          <w:rFonts w:ascii="宋体" w:cs="仿宋"/>
          <w:snapToGrid w:val="0"/>
          <w:kern w:val="0"/>
          <w:szCs w:val="21"/>
        </w:rPr>
      </w:pPr>
      <w:r>
        <w:rPr>
          <w:rFonts w:hint="eastAsia" w:ascii="宋体" w:cs="仿宋"/>
          <w:snapToGrid w:val="0"/>
          <w:kern w:val="0"/>
          <w:szCs w:val="21"/>
        </w:rPr>
        <w:t>（2）招标人直接或者间接向投标人泄露标底、评标委员会成员等信息；</w:t>
      </w:r>
    </w:p>
    <w:p>
      <w:pPr>
        <w:autoSpaceDE w:val="0"/>
        <w:autoSpaceDN w:val="0"/>
        <w:adjustRightInd w:val="0"/>
        <w:snapToGrid w:val="0"/>
        <w:spacing w:line="380" w:lineRule="exact"/>
        <w:ind w:firstLine="420" w:firstLineChars="200"/>
        <w:jc w:val="left"/>
        <w:rPr>
          <w:rFonts w:ascii="宋体" w:cs="仿宋"/>
          <w:snapToGrid w:val="0"/>
          <w:kern w:val="0"/>
          <w:szCs w:val="21"/>
        </w:rPr>
      </w:pPr>
      <w:r>
        <w:rPr>
          <w:rFonts w:hint="eastAsia" w:ascii="宋体" w:cs="仿宋"/>
          <w:snapToGrid w:val="0"/>
          <w:kern w:val="0"/>
          <w:szCs w:val="21"/>
        </w:rPr>
        <w:t>（3）招标人明示或者暗示投标人压低或者抬高投标报价；</w:t>
      </w:r>
    </w:p>
    <w:p>
      <w:pPr>
        <w:autoSpaceDE w:val="0"/>
        <w:autoSpaceDN w:val="0"/>
        <w:adjustRightInd w:val="0"/>
        <w:snapToGrid w:val="0"/>
        <w:spacing w:line="380" w:lineRule="exact"/>
        <w:ind w:firstLine="420" w:firstLineChars="200"/>
        <w:jc w:val="left"/>
        <w:rPr>
          <w:rFonts w:ascii="宋体" w:cs="仿宋"/>
          <w:snapToGrid w:val="0"/>
          <w:kern w:val="0"/>
          <w:szCs w:val="21"/>
        </w:rPr>
      </w:pPr>
      <w:r>
        <w:rPr>
          <w:rFonts w:hint="eastAsia" w:ascii="宋体" w:cs="仿宋"/>
          <w:snapToGrid w:val="0"/>
          <w:kern w:val="0"/>
          <w:szCs w:val="21"/>
        </w:rPr>
        <w:t>（4）招标人授意投标人撤换、修改投标文件；</w:t>
      </w:r>
    </w:p>
    <w:p>
      <w:pPr>
        <w:autoSpaceDE w:val="0"/>
        <w:autoSpaceDN w:val="0"/>
        <w:adjustRightInd w:val="0"/>
        <w:snapToGrid w:val="0"/>
        <w:spacing w:line="380" w:lineRule="exact"/>
        <w:ind w:firstLine="420" w:firstLineChars="200"/>
        <w:jc w:val="left"/>
        <w:rPr>
          <w:rFonts w:ascii="宋体" w:cs="仿宋"/>
          <w:snapToGrid w:val="0"/>
          <w:kern w:val="0"/>
          <w:szCs w:val="21"/>
        </w:rPr>
      </w:pPr>
      <w:r>
        <w:rPr>
          <w:rFonts w:hint="eastAsia" w:ascii="宋体" w:cs="仿宋"/>
          <w:snapToGrid w:val="0"/>
          <w:kern w:val="0"/>
          <w:szCs w:val="21"/>
        </w:rPr>
        <w:t>（5）招标人明示或者暗示投标人为特定投标人中标提供方便；</w:t>
      </w:r>
    </w:p>
    <w:p>
      <w:pPr>
        <w:autoSpaceDE w:val="0"/>
        <w:autoSpaceDN w:val="0"/>
        <w:adjustRightInd w:val="0"/>
        <w:snapToGrid w:val="0"/>
        <w:spacing w:line="380" w:lineRule="exact"/>
        <w:ind w:firstLine="420" w:firstLineChars="200"/>
        <w:jc w:val="left"/>
        <w:rPr>
          <w:rFonts w:ascii="宋体" w:cs="仿宋"/>
          <w:snapToGrid w:val="0"/>
          <w:kern w:val="0"/>
          <w:szCs w:val="21"/>
        </w:rPr>
      </w:pPr>
      <w:r>
        <w:rPr>
          <w:rFonts w:hint="eastAsia" w:ascii="宋体" w:cs="仿宋"/>
          <w:snapToGrid w:val="0"/>
          <w:kern w:val="0"/>
          <w:szCs w:val="21"/>
        </w:rPr>
        <w:t>（6）招标人与投标人为谋求特定投标人中标而采取的其他串通行为。</w:t>
      </w:r>
    </w:p>
    <w:p>
      <w:pPr>
        <w:pStyle w:val="6"/>
        <w:snapToGrid w:val="0"/>
        <w:spacing w:before="0" w:after="0" w:line="380" w:lineRule="exact"/>
        <w:rPr>
          <w:rFonts w:ascii="宋体" w:cs="仿宋"/>
          <w:snapToGrid w:val="0"/>
          <w:sz w:val="21"/>
          <w:szCs w:val="21"/>
        </w:rPr>
      </w:pPr>
      <w:bookmarkStart w:id="362" w:name="_Toc298010296"/>
      <w:bookmarkStart w:id="363" w:name="_Toc200513174"/>
      <w:bookmarkStart w:id="364" w:name="_Toc322559628"/>
      <w:bookmarkStart w:id="365" w:name="_Toc31588"/>
      <w:bookmarkStart w:id="366" w:name="_Toc296674684"/>
      <w:bookmarkStart w:id="367" w:name="_Toc325910601"/>
      <w:r>
        <w:rPr>
          <w:rFonts w:hint="eastAsia" w:ascii="宋体" w:cs="仿宋"/>
          <w:snapToGrid w:val="0"/>
          <w:sz w:val="21"/>
          <w:szCs w:val="21"/>
        </w:rPr>
        <w:t>9.2  对投标人的纪律要求</w:t>
      </w:r>
      <w:bookmarkEnd w:id="362"/>
      <w:bookmarkEnd w:id="363"/>
      <w:bookmarkEnd w:id="364"/>
      <w:bookmarkEnd w:id="365"/>
      <w:bookmarkEnd w:id="366"/>
      <w:bookmarkEnd w:id="367"/>
    </w:p>
    <w:p>
      <w:pPr>
        <w:autoSpaceDE w:val="0"/>
        <w:autoSpaceDN w:val="0"/>
        <w:adjustRightInd w:val="0"/>
        <w:snapToGrid w:val="0"/>
        <w:spacing w:line="380" w:lineRule="exact"/>
        <w:ind w:firstLine="420" w:firstLineChars="200"/>
        <w:jc w:val="left"/>
        <w:rPr>
          <w:rFonts w:ascii="宋体" w:cs="仿宋"/>
          <w:snapToGrid w:val="0"/>
          <w:kern w:val="0"/>
          <w:szCs w:val="21"/>
        </w:rPr>
      </w:pPr>
      <w:bookmarkStart w:id="368" w:name="_Toc298010297"/>
      <w:bookmarkStart w:id="369" w:name="_Toc296674685"/>
      <w:bookmarkStart w:id="370" w:name="_Toc322559629"/>
      <w:bookmarkStart w:id="371" w:name="_Toc325910602"/>
      <w:bookmarkStart w:id="372" w:name="_Toc200513175"/>
      <w:r>
        <w:rPr>
          <w:rFonts w:hint="eastAsia" w:ascii="宋体" w:cs="仿宋"/>
          <w:snapToGrid w:val="0"/>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r>
        <w:rPr>
          <w:rFonts w:hint="eastAsia" w:ascii="宋体" w:cs="仿宋"/>
          <w:snapToGrid w:val="0"/>
          <w:kern w:val="0"/>
          <w:szCs w:val="21"/>
        </w:rPr>
        <w:br w:type="textWrapping"/>
      </w:r>
      <w:r>
        <w:rPr>
          <w:rFonts w:hint="eastAsia" w:ascii="宋体" w:cs="仿宋"/>
          <w:snapToGrid w:val="0"/>
          <w:kern w:val="0"/>
          <w:szCs w:val="21"/>
        </w:rPr>
        <w:t>     有下列情形之一的，属于投标人相互串通投标：</w:t>
      </w:r>
      <w:r>
        <w:rPr>
          <w:rFonts w:hint="eastAsia" w:ascii="宋体" w:cs="仿宋"/>
          <w:snapToGrid w:val="0"/>
          <w:kern w:val="0"/>
          <w:szCs w:val="21"/>
        </w:rPr>
        <w:br w:type="textWrapping"/>
      </w:r>
      <w:r>
        <w:rPr>
          <w:rFonts w:hint="eastAsia" w:ascii="宋体" w:cs="仿宋"/>
          <w:snapToGrid w:val="0"/>
          <w:kern w:val="0"/>
          <w:szCs w:val="21"/>
        </w:rPr>
        <w:t>    （1）投标人之间协商投标报价等投标文件的实质性内容；</w:t>
      </w:r>
      <w:r>
        <w:rPr>
          <w:rFonts w:hint="eastAsia" w:ascii="宋体" w:cs="仿宋"/>
          <w:snapToGrid w:val="0"/>
          <w:kern w:val="0"/>
          <w:szCs w:val="21"/>
        </w:rPr>
        <w:br w:type="textWrapping"/>
      </w:r>
      <w:r>
        <w:rPr>
          <w:rFonts w:hint="eastAsia" w:ascii="宋体" w:cs="仿宋"/>
          <w:snapToGrid w:val="0"/>
          <w:kern w:val="0"/>
          <w:szCs w:val="21"/>
        </w:rPr>
        <w:t>    （2）投标人之间约定中标人；</w:t>
      </w:r>
      <w:r>
        <w:rPr>
          <w:rFonts w:hint="eastAsia" w:ascii="宋体" w:cs="仿宋"/>
          <w:snapToGrid w:val="0"/>
          <w:kern w:val="0"/>
          <w:szCs w:val="21"/>
        </w:rPr>
        <w:br w:type="textWrapping"/>
      </w:r>
      <w:r>
        <w:rPr>
          <w:rFonts w:hint="eastAsia" w:ascii="宋体" w:cs="仿宋"/>
          <w:snapToGrid w:val="0"/>
          <w:kern w:val="0"/>
          <w:szCs w:val="21"/>
        </w:rPr>
        <w:t>    （3）投标人之间约定部分投标人放弃投标或者中标；</w:t>
      </w:r>
      <w:r>
        <w:rPr>
          <w:rFonts w:hint="eastAsia" w:ascii="宋体" w:cs="仿宋"/>
          <w:snapToGrid w:val="0"/>
          <w:kern w:val="0"/>
          <w:szCs w:val="21"/>
        </w:rPr>
        <w:br w:type="textWrapping"/>
      </w:r>
      <w:r>
        <w:rPr>
          <w:rFonts w:hint="eastAsia" w:ascii="宋体" w:cs="仿宋"/>
          <w:snapToGrid w:val="0"/>
          <w:kern w:val="0"/>
          <w:szCs w:val="21"/>
        </w:rPr>
        <w:t>    （4）属于同一集团、协会、商会等组织成员的投标人按照该组织要求协同投标；</w:t>
      </w:r>
      <w:r>
        <w:rPr>
          <w:rFonts w:hint="eastAsia" w:ascii="宋体" w:cs="仿宋"/>
          <w:snapToGrid w:val="0"/>
          <w:kern w:val="0"/>
          <w:szCs w:val="21"/>
        </w:rPr>
        <w:br w:type="textWrapping"/>
      </w:r>
      <w:r>
        <w:rPr>
          <w:rFonts w:hint="eastAsia" w:ascii="宋体" w:cs="仿宋"/>
          <w:snapToGrid w:val="0"/>
          <w:kern w:val="0"/>
          <w:szCs w:val="21"/>
        </w:rPr>
        <w:t>    （5）投标人之间为谋取中标或者排斥特定投标人而采取的其他联合行动。</w:t>
      </w:r>
      <w:r>
        <w:rPr>
          <w:rFonts w:hint="eastAsia" w:ascii="宋体" w:cs="仿宋"/>
          <w:snapToGrid w:val="0"/>
          <w:kern w:val="0"/>
          <w:szCs w:val="21"/>
        </w:rPr>
        <w:br w:type="textWrapping"/>
      </w:r>
      <w:r>
        <w:rPr>
          <w:rFonts w:hint="eastAsia" w:ascii="宋体" w:cs="仿宋"/>
          <w:snapToGrid w:val="0"/>
          <w:kern w:val="0"/>
          <w:szCs w:val="21"/>
        </w:rPr>
        <w:t>    有下列情形之一的，视为投标人相互串通投标：</w:t>
      </w:r>
      <w:r>
        <w:rPr>
          <w:rFonts w:hint="eastAsia" w:ascii="宋体" w:cs="仿宋"/>
          <w:snapToGrid w:val="0"/>
          <w:kern w:val="0"/>
          <w:szCs w:val="21"/>
        </w:rPr>
        <w:br w:type="textWrapping"/>
      </w:r>
      <w:r>
        <w:rPr>
          <w:rFonts w:hint="eastAsia" w:ascii="宋体" w:cs="仿宋"/>
          <w:snapToGrid w:val="0"/>
          <w:kern w:val="0"/>
          <w:szCs w:val="21"/>
        </w:rPr>
        <w:t>    （1）不同投标人的投标文件由同一单位或者个人编制；</w:t>
      </w:r>
      <w:r>
        <w:rPr>
          <w:rFonts w:hint="eastAsia" w:ascii="宋体" w:cs="仿宋"/>
          <w:snapToGrid w:val="0"/>
          <w:kern w:val="0"/>
          <w:szCs w:val="21"/>
        </w:rPr>
        <w:br w:type="textWrapping"/>
      </w:r>
      <w:r>
        <w:rPr>
          <w:rFonts w:hint="eastAsia" w:ascii="宋体" w:cs="仿宋"/>
          <w:snapToGrid w:val="0"/>
          <w:kern w:val="0"/>
          <w:szCs w:val="21"/>
        </w:rPr>
        <w:t xml:space="preserve">     （3）不同投标人的投标文件载明的项目管理成员为同一人；</w:t>
      </w:r>
      <w:r>
        <w:rPr>
          <w:rFonts w:hint="eastAsia" w:ascii="宋体" w:cs="仿宋"/>
          <w:snapToGrid w:val="0"/>
          <w:kern w:val="0"/>
          <w:szCs w:val="21"/>
        </w:rPr>
        <w:br w:type="textWrapping"/>
      </w:r>
      <w:r>
        <w:rPr>
          <w:rFonts w:hint="eastAsia" w:ascii="宋体" w:cs="仿宋"/>
          <w:snapToGrid w:val="0"/>
          <w:kern w:val="0"/>
          <w:szCs w:val="21"/>
        </w:rPr>
        <w:t>    （4）不同投标人的投标文件异常一致或者投标报价呈规律性差异；</w:t>
      </w:r>
      <w:r>
        <w:rPr>
          <w:rFonts w:hint="eastAsia" w:ascii="宋体" w:cs="仿宋"/>
          <w:snapToGrid w:val="0"/>
          <w:kern w:val="0"/>
          <w:szCs w:val="21"/>
        </w:rPr>
        <w:br w:type="textWrapping"/>
      </w:r>
      <w:r>
        <w:rPr>
          <w:rFonts w:hint="eastAsia" w:ascii="宋体" w:cs="仿宋"/>
          <w:snapToGrid w:val="0"/>
          <w:kern w:val="0"/>
          <w:szCs w:val="21"/>
        </w:rPr>
        <w:t>    （5）不同投标人的投标文件相互混装；</w:t>
      </w:r>
      <w:r>
        <w:rPr>
          <w:rFonts w:hint="eastAsia" w:ascii="宋体" w:cs="仿宋"/>
          <w:snapToGrid w:val="0"/>
          <w:kern w:val="0"/>
          <w:szCs w:val="21"/>
        </w:rPr>
        <w:br w:type="textWrapping"/>
      </w:r>
      <w:r>
        <w:rPr>
          <w:rFonts w:hint="eastAsia" w:ascii="宋体" w:cs="仿宋"/>
          <w:snapToGrid w:val="0"/>
          <w:kern w:val="0"/>
          <w:szCs w:val="21"/>
        </w:rPr>
        <w:t>    （6）不同投标人的投标保证金从同一单位或者个人的账户转出。</w:t>
      </w:r>
    </w:p>
    <w:p>
      <w:pPr>
        <w:autoSpaceDE w:val="0"/>
        <w:autoSpaceDN w:val="0"/>
        <w:adjustRightInd w:val="0"/>
        <w:snapToGrid w:val="0"/>
        <w:spacing w:line="380" w:lineRule="exact"/>
        <w:ind w:firstLine="420" w:firstLineChars="200"/>
        <w:jc w:val="left"/>
        <w:rPr>
          <w:rFonts w:ascii="宋体" w:cs="仿宋"/>
          <w:snapToGrid w:val="0"/>
          <w:kern w:val="0"/>
          <w:szCs w:val="21"/>
        </w:rPr>
      </w:pPr>
      <w:r>
        <w:rPr>
          <w:rFonts w:hint="eastAsia" w:ascii="宋体" w:cs="仿宋"/>
          <w:snapToGrid w:val="0"/>
          <w:kern w:val="0"/>
          <w:szCs w:val="21"/>
        </w:rPr>
        <w:t>使用通过受让或者租借等方式获取的资格、资质证书投标的，属于以他人名义投标。</w:t>
      </w:r>
      <w:r>
        <w:rPr>
          <w:rFonts w:hint="eastAsia" w:ascii="宋体" w:cs="仿宋"/>
          <w:snapToGrid w:val="0"/>
          <w:kern w:val="0"/>
          <w:szCs w:val="21"/>
        </w:rPr>
        <w:br w:type="textWrapping"/>
      </w:r>
      <w:r>
        <w:rPr>
          <w:rFonts w:hint="eastAsia" w:ascii="宋体" w:cs="仿宋"/>
          <w:snapToGrid w:val="0"/>
          <w:kern w:val="0"/>
          <w:szCs w:val="21"/>
        </w:rPr>
        <w:t>     投标人有下列情形之一的，属于以其他方式弄虚作假的行为：</w:t>
      </w:r>
      <w:r>
        <w:rPr>
          <w:rFonts w:hint="eastAsia" w:ascii="宋体" w:cs="仿宋"/>
          <w:snapToGrid w:val="0"/>
          <w:kern w:val="0"/>
          <w:szCs w:val="21"/>
        </w:rPr>
        <w:br w:type="textWrapping"/>
      </w:r>
      <w:r>
        <w:rPr>
          <w:rFonts w:hint="eastAsia" w:ascii="宋体" w:cs="仿宋"/>
          <w:snapToGrid w:val="0"/>
          <w:kern w:val="0"/>
          <w:szCs w:val="21"/>
        </w:rPr>
        <w:t>    （一）使用伪造、变造的许可证件；</w:t>
      </w:r>
      <w:r>
        <w:rPr>
          <w:rFonts w:hint="eastAsia" w:ascii="宋体" w:cs="仿宋"/>
          <w:snapToGrid w:val="0"/>
          <w:kern w:val="0"/>
          <w:szCs w:val="21"/>
        </w:rPr>
        <w:br w:type="textWrapping"/>
      </w:r>
      <w:r>
        <w:rPr>
          <w:rFonts w:ascii="宋体" w:cs="仿宋"/>
          <w:snapToGrid w:val="0"/>
          <w:kern w:val="0"/>
          <w:szCs w:val="21"/>
        </w:rPr>
        <w:t>    </w:t>
      </w:r>
      <w:r>
        <w:rPr>
          <w:rFonts w:hint="eastAsia" w:ascii="宋体" w:cs="仿宋"/>
          <w:snapToGrid w:val="0"/>
          <w:kern w:val="0"/>
          <w:szCs w:val="21"/>
        </w:rPr>
        <w:t>（二）提供虚假的财务状况或者业绩；</w:t>
      </w:r>
      <w:r>
        <w:rPr>
          <w:rFonts w:ascii="宋体" w:cs="仿宋"/>
          <w:snapToGrid w:val="0"/>
          <w:kern w:val="0"/>
          <w:szCs w:val="21"/>
        </w:rPr>
        <w:br w:type="textWrapping"/>
      </w:r>
      <w:r>
        <w:rPr>
          <w:rFonts w:ascii="宋体" w:cs="仿宋"/>
          <w:snapToGrid w:val="0"/>
          <w:kern w:val="0"/>
          <w:szCs w:val="21"/>
        </w:rPr>
        <w:t>    </w:t>
      </w:r>
      <w:r>
        <w:rPr>
          <w:rFonts w:hint="eastAsia" w:ascii="宋体" w:cs="仿宋"/>
          <w:snapToGrid w:val="0"/>
          <w:kern w:val="0"/>
          <w:szCs w:val="21"/>
        </w:rPr>
        <w:t>（三）提供虚假的项目负责人或者主要技术人员简历、劳动关系证明；</w:t>
      </w:r>
      <w:r>
        <w:rPr>
          <w:rFonts w:ascii="宋体" w:cs="仿宋"/>
          <w:snapToGrid w:val="0"/>
          <w:kern w:val="0"/>
          <w:szCs w:val="21"/>
        </w:rPr>
        <w:br w:type="textWrapping"/>
      </w:r>
      <w:r>
        <w:rPr>
          <w:rFonts w:ascii="宋体" w:cs="仿宋"/>
          <w:snapToGrid w:val="0"/>
          <w:kern w:val="0"/>
          <w:szCs w:val="21"/>
        </w:rPr>
        <w:t>    </w:t>
      </w:r>
      <w:r>
        <w:rPr>
          <w:rFonts w:hint="eastAsia" w:ascii="宋体" w:cs="仿宋"/>
          <w:snapToGrid w:val="0"/>
          <w:kern w:val="0"/>
          <w:szCs w:val="21"/>
        </w:rPr>
        <w:t>（四）提供虚假的信用状况；</w:t>
      </w:r>
      <w:r>
        <w:rPr>
          <w:rFonts w:ascii="宋体" w:cs="仿宋"/>
          <w:snapToGrid w:val="0"/>
          <w:kern w:val="0"/>
          <w:szCs w:val="21"/>
        </w:rPr>
        <w:br w:type="textWrapping"/>
      </w:r>
      <w:r>
        <w:rPr>
          <w:rFonts w:ascii="宋体" w:cs="仿宋"/>
          <w:snapToGrid w:val="0"/>
          <w:kern w:val="0"/>
          <w:szCs w:val="21"/>
        </w:rPr>
        <w:t>    </w:t>
      </w:r>
      <w:r>
        <w:rPr>
          <w:rFonts w:hint="eastAsia" w:ascii="宋体" w:cs="仿宋"/>
          <w:snapToGrid w:val="0"/>
          <w:kern w:val="0"/>
          <w:szCs w:val="21"/>
        </w:rPr>
        <w:t>（五）其他弄虚作假的行为。</w:t>
      </w:r>
    </w:p>
    <w:p>
      <w:pPr>
        <w:pStyle w:val="6"/>
        <w:snapToGrid w:val="0"/>
        <w:spacing w:before="0" w:after="0" w:line="380" w:lineRule="exact"/>
        <w:rPr>
          <w:rFonts w:ascii="宋体" w:cs="仿宋"/>
          <w:snapToGrid w:val="0"/>
          <w:sz w:val="21"/>
          <w:szCs w:val="21"/>
        </w:rPr>
      </w:pPr>
      <w:bookmarkStart w:id="373" w:name="_Toc24152"/>
      <w:r>
        <w:rPr>
          <w:rFonts w:hint="eastAsia" w:ascii="宋体" w:cs="仿宋"/>
          <w:snapToGrid w:val="0"/>
          <w:sz w:val="21"/>
          <w:szCs w:val="21"/>
        </w:rPr>
        <w:t>9.3 对评标委员会成员的纪律要求</w:t>
      </w:r>
      <w:bookmarkEnd w:id="368"/>
      <w:bookmarkEnd w:id="369"/>
      <w:bookmarkEnd w:id="370"/>
      <w:bookmarkEnd w:id="371"/>
      <w:bookmarkEnd w:id="372"/>
      <w:bookmarkEnd w:id="373"/>
    </w:p>
    <w:p>
      <w:pPr>
        <w:autoSpaceDE w:val="0"/>
        <w:autoSpaceDN w:val="0"/>
        <w:adjustRightInd w:val="0"/>
        <w:snapToGrid w:val="0"/>
        <w:spacing w:line="380" w:lineRule="exact"/>
        <w:ind w:firstLine="420" w:firstLineChars="200"/>
        <w:jc w:val="left"/>
        <w:rPr>
          <w:rFonts w:ascii="宋体" w:cs="仿宋"/>
          <w:snapToGrid w:val="0"/>
          <w:kern w:val="0"/>
          <w:szCs w:val="21"/>
        </w:rPr>
      </w:pPr>
      <w:r>
        <w:rPr>
          <w:rFonts w:hint="eastAsia" w:ascii="宋体" w:cs="仿宋"/>
          <w:snapToGrid w:val="0"/>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6"/>
        <w:snapToGrid w:val="0"/>
        <w:spacing w:before="0" w:after="0" w:line="380" w:lineRule="exact"/>
        <w:rPr>
          <w:rFonts w:ascii="宋体" w:cs="仿宋"/>
          <w:snapToGrid w:val="0"/>
          <w:sz w:val="21"/>
          <w:szCs w:val="21"/>
        </w:rPr>
      </w:pPr>
      <w:bookmarkStart w:id="374" w:name="_Toc10710"/>
      <w:bookmarkStart w:id="375" w:name="_Toc200513176"/>
      <w:bookmarkStart w:id="376" w:name="_Toc325910603"/>
      <w:bookmarkStart w:id="377" w:name="_Toc298010298"/>
      <w:bookmarkStart w:id="378" w:name="_Toc296674686"/>
      <w:bookmarkStart w:id="379" w:name="_Toc322559630"/>
      <w:r>
        <w:rPr>
          <w:rFonts w:hint="eastAsia" w:ascii="宋体" w:cs="仿宋"/>
          <w:snapToGrid w:val="0"/>
          <w:sz w:val="21"/>
          <w:szCs w:val="21"/>
        </w:rPr>
        <w:t>9.4 对与评标活动有关的工作人员的纪律要求</w:t>
      </w:r>
      <w:bookmarkEnd w:id="374"/>
      <w:bookmarkEnd w:id="375"/>
      <w:bookmarkEnd w:id="376"/>
      <w:bookmarkEnd w:id="377"/>
      <w:bookmarkEnd w:id="378"/>
      <w:bookmarkEnd w:id="379"/>
    </w:p>
    <w:p>
      <w:pPr>
        <w:autoSpaceDE w:val="0"/>
        <w:autoSpaceDN w:val="0"/>
        <w:adjustRightInd w:val="0"/>
        <w:snapToGrid w:val="0"/>
        <w:spacing w:line="380" w:lineRule="exact"/>
        <w:ind w:firstLine="420" w:firstLineChars="200"/>
        <w:jc w:val="left"/>
        <w:rPr>
          <w:rFonts w:ascii="宋体" w:cs="仿宋"/>
          <w:snapToGrid w:val="0"/>
          <w:kern w:val="0"/>
          <w:szCs w:val="21"/>
        </w:rPr>
      </w:pPr>
      <w:r>
        <w:rPr>
          <w:rFonts w:hint="eastAsia" w:ascii="宋体" w:cs="仿宋"/>
          <w:snapToGrid w:val="0"/>
          <w:kern w:val="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6"/>
        <w:snapToGrid w:val="0"/>
        <w:spacing w:before="0" w:after="0" w:line="380" w:lineRule="exact"/>
        <w:rPr>
          <w:rFonts w:ascii="宋体" w:cs="仿宋"/>
          <w:snapToGrid w:val="0"/>
          <w:sz w:val="21"/>
          <w:szCs w:val="21"/>
        </w:rPr>
      </w:pPr>
      <w:bookmarkStart w:id="380" w:name="_Toc322559631"/>
      <w:bookmarkStart w:id="381" w:name="_Toc30459"/>
      <w:bookmarkStart w:id="382" w:name="_Toc296674687"/>
      <w:bookmarkStart w:id="383" w:name="_Toc325910604"/>
      <w:bookmarkStart w:id="384" w:name="_Toc298010299"/>
      <w:bookmarkStart w:id="385" w:name="_Toc200513177"/>
      <w:r>
        <w:rPr>
          <w:rFonts w:hint="eastAsia" w:ascii="宋体" w:cs="仿宋"/>
          <w:snapToGrid w:val="0"/>
          <w:sz w:val="21"/>
          <w:szCs w:val="21"/>
        </w:rPr>
        <w:t>9.5 投诉</w:t>
      </w:r>
      <w:bookmarkEnd w:id="380"/>
      <w:bookmarkEnd w:id="381"/>
      <w:bookmarkEnd w:id="382"/>
      <w:bookmarkEnd w:id="383"/>
      <w:bookmarkEnd w:id="384"/>
      <w:bookmarkEnd w:id="385"/>
    </w:p>
    <w:p>
      <w:pPr>
        <w:autoSpaceDE w:val="0"/>
        <w:autoSpaceDN w:val="0"/>
        <w:adjustRightInd w:val="0"/>
        <w:snapToGrid w:val="0"/>
        <w:spacing w:line="380" w:lineRule="exact"/>
        <w:ind w:firstLine="420" w:firstLineChars="200"/>
        <w:jc w:val="left"/>
        <w:rPr>
          <w:rFonts w:ascii="宋体" w:cs="仿宋"/>
          <w:snapToGrid w:val="0"/>
          <w:kern w:val="0"/>
          <w:szCs w:val="21"/>
        </w:rPr>
      </w:pPr>
      <w:r>
        <w:rPr>
          <w:rFonts w:hint="eastAsia" w:ascii="宋体" w:cs="仿宋"/>
          <w:snapToGrid w:val="0"/>
          <w:kern w:val="0"/>
          <w:szCs w:val="21"/>
        </w:rPr>
        <w:t>投标人和其他利害关系人认为本次竞争性比选活动违反法律、法规和规章规定的，有权向有关行政监督部门投诉。</w:t>
      </w:r>
    </w:p>
    <w:p>
      <w:pPr>
        <w:pStyle w:val="5"/>
        <w:spacing w:before="0" w:after="0" w:line="380" w:lineRule="exact"/>
        <w:rPr>
          <w:rFonts w:ascii="宋体" w:eastAsia="宋体" w:cs="仿宋"/>
          <w:snapToGrid w:val="0"/>
          <w:sz w:val="24"/>
          <w:szCs w:val="24"/>
        </w:rPr>
      </w:pPr>
      <w:bookmarkStart w:id="386" w:name="_Toc325910605"/>
      <w:bookmarkStart w:id="387" w:name="_Toc298010300"/>
      <w:bookmarkStart w:id="388" w:name="_Toc6818"/>
      <w:bookmarkStart w:id="389" w:name="_Toc322559632"/>
      <w:bookmarkStart w:id="390" w:name="_Toc200513178"/>
      <w:r>
        <w:rPr>
          <w:rFonts w:ascii="宋体" w:eastAsia="宋体" w:cs="仿宋"/>
          <w:snapToGrid w:val="0"/>
          <w:sz w:val="24"/>
          <w:szCs w:val="24"/>
        </w:rPr>
        <w:t xml:space="preserve">10. </w:t>
      </w:r>
      <w:r>
        <w:rPr>
          <w:rFonts w:hint="eastAsia" w:ascii="宋体" w:eastAsia="宋体" w:cs="仿宋"/>
          <w:snapToGrid w:val="0"/>
          <w:sz w:val="24"/>
          <w:szCs w:val="24"/>
        </w:rPr>
        <w:t>需要补充的其他内容</w:t>
      </w:r>
      <w:bookmarkEnd w:id="386"/>
      <w:bookmarkEnd w:id="387"/>
      <w:bookmarkEnd w:id="388"/>
      <w:bookmarkEnd w:id="389"/>
      <w:bookmarkEnd w:id="390"/>
    </w:p>
    <w:p>
      <w:pPr>
        <w:autoSpaceDE w:val="0"/>
        <w:autoSpaceDN w:val="0"/>
        <w:adjustRightInd w:val="0"/>
        <w:snapToGrid w:val="0"/>
        <w:spacing w:line="380" w:lineRule="exact"/>
        <w:ind w:firstLine="420"/>
        <w:jc w:val="left"/>
        <w:rPr>
          <w:rFonts w:ascii="宋体" w:cs="仿宋"/>
          <w:snapToGrid w:val="0"/>
          <w:kern w:val="0"/>
          <w:szCs w:val="21"/>
        </w:rPr>
      </w:pPr>
      <w:r>
        <w:rPr>
          <w:rFonts w:hint="eastAsia" w:ascii="宋体" w:cs="仿宋"/>
          <w:snapToGrid w:val="0"/>
          <w:kern w:val="0"/>
          <w:szCs w:val="21"/>
        </w:rPr>
        <w:t>需要补充的其他内容：见投标人须知前附表。</w:t>
      </w:r>
    </w:p>
    <w:p>
      <w:pPr>
        <w:spacing w:line="380" w:lineRule="exact"/>
        <w:rPr>
          <w:rFonts w:ascii="宋体" w:cs="仿宋"/>
          <w:szCs w:val="21"/>
        </w:rPr>
      </w:pPr>
    </w:p>
    <w:p>
      <w:pPr>
        <w:autoSpaceDE w:val="0"/>
        <w:autoSpaceDN w:val="0"/>
        <w:adjustRightInd w:val="0"/>
        <w:snapToGrid w:val="0"/>
        <w:spacing w:before="120" w:after="240" w:line="500" w:lineRule="exact"/>
        <w:jc w:val="center"/>
        <w:rPr>
          <w:b/>
          <w:bCs/>
          <w:sz w:val="36"/>
          <w:szCs w:val="36"/>
        </w:rPr>
      </w:pPr>
      <w:bookmarkStart w:id="391" w:name="_Toc325910623"/>
      <w:bookmarkStart w:id="392" w:name="_Toc325274682"/>
    </w:p>
    <w:p>
      <w:pPr>
        <w:autoSpaceDE w:val="0"/>
        <w:autoSpaceDN w:val="0"/>
        <w:adjustRightInd w:val="0"/>
        <w:snapToGrid w:val="0"/>
        <w:spacing w:before="120" w:after="240" w:line="500" w:lineRule="exact"/>
        <w:jc w:val="center"/>
        <w:rPr>
          <w:b/>
          <w:bCs/>
          <w:sz w:val="36"/>
          <w:szCs w:val="36"/>
        </w:rPr>
      </w:pPr>
    </w:p>
    <w:p>
      <w:pPr>
        <w:autoSpaceDE w:val="0"/>
        <w:autoSpaceDN w:val="0"/>
        <w:adjustRightInd w:val="0"/>
        <w:snapToGrid w:val="0"/>
        <w:spacing w:before="120" w:after="240" w:line="500" w:lineRule="exact"/>
        <w:jc w:val="center"/>
        <w:rPr>
          <w:b/>
          <w:bCs/>
          <w:sz w:val="36"/>
          <w:szCs w:val="36"/>
        </w:rPr>
      </w:pPr>
    </w:p>
    <w:p>
      <w:pPr>
        <w:autoSpaceDE w:val="0"/>
        <w:autoSpaceDN w:val="0"/>
        <w:adjustRightInd w:val="0"/>
        <w:snapToGrid w:val="0"/>
        <w:spacing w:before="120" w:after="240" w:line="500" w:lineRule="exact"/>
        <w:jc w:val="center"/>
        <w:rPr>
          <w:b/>
          <w:bCs/>
          <w:sz w:val="36"/>
          <w:szCs w:val="36"/>
        </w:rPr>
      </w:pPr>
    </w:p>
    <w:p>
      <w:pPr>
        <w:autoSpaceDE w:val="0"/>
        <w:autoSpaceDN w:val="0"/>
        <w:adjustRightInd w:val="0"/>
        <w:snapToGrid w:val="0"/>
        <w:spacing w:before="120" w:after="240" w:line="500" w:lineRule="exact"/>
        <w:jc w:val="center"/>
        <w:rPr>
          <w:b/>
          <w:bCs/>
          <w:sz w:val="36"/>
          <w:szCs w:val="36"/>
        </w:rPr>
      </w:pPr>
    </w:p>
    <w:p>
      <w:pPr>
        <w:pStyle w:val="2"/>
      </w:pPr>
    </w:p>
    <w:p>
      <w:pPr>
        <w:pStyle w:val="3"/>
      </w:pPr>
    </w:p>
    <w:p/>
    <w:p>
      <w:pPr>
        <w:autoSpaceDE w:val="0"/>
        <w:autoSpaceDN w:val="0"/>
        <w:adjustRightInd w:val="0"/>
        <w:snapToGrid w:val="0"/>
        <w:spacing w:before="120" w:after="240" w:line="500" w:lineRule="exact"/>
        <w:jc w:val="center"/>
        <w:rPr>
          <w:rFonts w:ascii="宋体" w:hAnsi="宋体"/>
          <w:b/>
          <w:bCs/>
          <w:snapToGrid w:val="0"/>
          <w:kern w:val="0"/>
          <w:sz w:val="36"/>
          <w:szCs w:val="36"/>
        </w:rPr>
      </w:pPr>
      <w:r>
        <w:rPr>
          <w:rFonts w:hint="eastAsia"/>
          <w:b/>
          <w:bCs/>
          <w:sz w:val="36"/>
          <w:szCs w:val="36"/>
        </w:rPr>
        <w:t xml:space="preserve">第三章  </w:t>
      </w:r>
      <w:r>
        <w:rPr>
          <w:rFonts w:hint="eastAsia" w:ascii="宋体" w:hAnsi="宋体"/>
          <w:b/>
          <w:bCs/>
          <w:kern w:val="0"/>
          <w:sz w:val="36"/>
          <w:szCs w:val="36"/>
        </w:rPr>
        <w:t>评标办法</w:t>
      </w:r>
    </w:p>
    <w:p>
      <w:pPr>
        <w:pStyle w:val="5"/>
        <w:spacing w:before="120" w:after="120" w:line="400" w:lineRule="exact"/>
        <w:rPr>
          <w:rFonts w:ascii="宋体" w:hAnsi="宋体" w:eastAsia="宋体" w:cs="宋体"/>
          <w:sz w:val="24"/>
          <w:szCs w:val="24"/>
        </w:rPr>
      </w:pPr>
      <w:bookmarkStart w:id="393" w:name="_Toc287620739"/>
      <w:bookmarkStart w:id="394" w:name="_Toc277082606"/>
      <w:bookmarkStart w:id="395" w:name="_Toc17584"/>
      <w:bookmarkStart w:id="396" w:name="_Toc287607800"/>
      <w:bookmarkStart w:id="397" w:name="_Toc22137"/>
      <w:bookmarkStart w:id="398" w:name="_Toc389633605"/>
      <w:bookmarkStart w:id="399" w:name="_Toc224103371"/>
      <w:bookmarkStart w:id="400" w:name="_Toc357417629"/>
      <w:bookmarkStart w:id="401" w:name="_Toc23783"/>
      <w:r>
        <w:rPr>
          <w:rFonts w:hint="eastAsia" w:ascii="宋体" w:hAnsi="宋体" w:eastAsia="宋体" w:cs="宋体"/>
          <w:sz w:val="24"/>
          <w:szCs w:val="24"/>
        </w:rPr>
        <w:t>评标办法前附表</w:t>
      </w:r>
      <w:bookmarkEnd w:id="393"/>
      <w:bookmarkEnd w:id="394"/>
      <w:bookmarkEnd w:id="395"/>
      <w:bookmarkEnd w:id="396"/>
      <w:bookmarkEnd w:id="397"/>
      <w:bookmarkEnd w:id="398"/>
      <w:bookmarkEnd w:id="399"/>
      <w:bookmarkEnd w:id="400"/>
      <w:bookmarkEnd w:id="401"/>
    </w:p>
    <w:tbl>
      <w:tblPr>
        <w:tblStyle w:val="54"/>
        <w:tblW w:w="9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235"/>
        <w:gridCol w:w="875"/>
        <w:gridCol w:w="1849"/>
        <w:gridCol w:w="4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blHeader/>
          <w:jc w:val="center"/>
        </w:trPr>
        <w:tc>
          <w:tcPr>
            <w:tcW w:w="2095" w:type="dxa"/>
            <w:gridSpan w:val="2"/>
            <w:vAlign w:val="center"/>
          </w:tcPr>
          <w:p>
            <w:pPr>
              <w:spacing w:line="360" w:lineRule="auto"/>
              <w:jc w:val="center"/>
              <w:rPr>
                <w:rFonts w:ascii="宋体" w:hAnsi="宋体" w:cs="宋体"/>
                <w:b/>
                <w:kern w:val="0"/>
              </w:rPr>
            </w:pPr>
            <w:r>
              <w:rPr>
                <w:rFonts w:hint="eastAsia" w:ascii="宋体" w:hAnsi="宋体" w:cs="宋体"/>
                <w:b/>
                <w:kern w:val="0"/>
              </w:rPr>
              <w:t>条款号</w:t>
            </w:r>
          </w:p>
        </w:tc>
        <w:tc>
          <w:tcPr>
            <w:tcW w:w="2724" w:type="dxa"/>
            <w:gridSpan w:val="2"/>
            <w:vAlign w:val="center"/>
          </w:tcPr>
          <w:p>
            <w:pPr>
              <w:spacing w:line="360" w:lineRule="auto"/>
              <w:jc w:val="center"/>
              <w:rPr>
                <w:rFonts w:ascii="宋体" w:hAnsi="宋体" w:cs="宋体"/>
                <w:b/>
                <w:kern w:val="0"/>
              </w:rPr>
            </w:pPr>
            <w:r>
              <w:rPr>
                <w:rFonts w:hint="eastAsia" w:ascii="宋体" w:hAnsi="宋体" w:cs="宋体"/>
                <w:b/>
                <w:kern w:val="0"/>
              </w:rPr>
              <w:t>评审因素</w:t>
            </w:r>
          </w:p>
        </w:tc>
        <w:tc>
          <w:tcPr>
            <w:tcW w:w="4897" w:type="dxa"/>
            <w:vAlign w:val="center"/>
          </w:tcPr>
          <w:p>
            <w:pPr>
              <w:spacing w:line="360" w:lineRule="auto"/>
              <w:jc w:val="center"/>
              <w:rPr>
                <w:rFonts w:ascii="宋体" w:hAnsi="宋体" w:cs="宋体"/>
                <w:b/>
                <w:kern w:val="0"/>
              </w:rPr>
            </w:pPr>
            <w:r>
              <w:rPr>
                <w:rFonts w:hint="eastAsia" w:ascii="宋体" w:hAnsi="宋体" w:cs="宋体"/>
                <w:b/>
                <w:kern w:val="0"/>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860" w:type="dxa"/>
            <w:vAlign w:val="center"/>
          </w:tcPr>
          <w:p>
            <w:pPr>
              <w:spacing w:line="360" w:lineRule="auto"/>
              <w:jc w:val="center"/>
              <w:rPr>
                <w:rFonts w:ascii="宋体" w:hAnsi="宋体"/>
                <w:kern w:val="0"/>
              </w:rPr>
            </w:pPr>
            <w:r>
              <w:rPr>
                <w:rFonts w:hint="eastAsia" w:ascii="宋体" w:hAnsi="宋体" w:cs="宋体"/>
                <w:kern w:val="0"/>
              </w:rPr>
              <w:t>1</w:t>
            </w:r>
          </w:p>
        </w:tc>
        <w:tc>
          <w:tcPr>
            <w:tcW w:w="1235" w:type="dxa"/>
            <w:textDirection w:val="tbRlV"/>
            <w:vAlign w:val="center"/>
          </w:tcPr>
          <w:p>
            <w:pPr>
              <w:spacing w:line="360" w:lineRule="auto"/>
              <w:ind w:left="113" w:right="113"/>
              <w:jc w:val="center"/>
              <w:rPr>
                <w:rFonts w:ascii="宋体" w:hAnsi="宋体"/>
                <w:kern w:val="0"/>
              </w:rPr>
            </w:pPr>
            <w:r>
              <w:rPr>
                <w:rFonts w:hint="eastAsia" w:ascii="宋体" w:hAnsi="宋体" w:cs="宋体"/>
                <w:kern w:val="0"/>
                <w:sz w:val="24"/>
                <w:szCs w:val="24"/>
              </w:rPr>
              <w:t>评 标 方 法</w:t>
            </w:r>
          </w:p>
        </w:tc>
        <w:tc>
          <w:tcPr>
            <w:tcW w:w="7621" w:type="dxa"/>
            <w:gridSpan w:val="3"/>
            <w:vAlign w:val="center"/>
          </w:tcPr>
          <w:p>
            <w:pPr>
              <w:spacing w:line="400" w:lineRule="exact"/>
              <w:ind w:firstLine="218" w:firstLineChars="100"/>
              <w:rPr>
                <w:rFonts w:ascii="宋体" w:hAnsi="宋体" w:cs="MingLiU"/>
                <w:spacing w:val="4"/>
                <w:kern w:val="0"/>
                <w:szCs w:val="21"/>
              </w:rPr>
            </w:pPr>
            <w:r>
              <w:rPr>
                <w:rFonts w:hint="eastAsia" w:ascii="宋体" w:hAnsi="宋体" w:cs="MingLiU"/>
                <w:spacing w:val="4"/>
                <w:kern w:val="0"/>
                <w:szCs w:val="21"/>
              </w:rPr>
              <w:t>本工程施工比选评</w:t>
            </w:r>
            <w:r>
              <w:rPr>
                <w:rFonts w:hint="eastAsia" w:ascii="宋体" w:hAnsi="宋体" w:cs="MingLiU"/>
                <w:spacing w:val="2"/>
                <w:kern w:val="0"/>
                <w:szCs w:val="21"/>
              </w:rPr>
              <w:t>标</w:t>
            </w:r>
            <w:r>
              <w:rPr>
                <w:rFonts w:hint="eastAsia" w:ascii="宋体" w:hAnsi="宋体" w:cs="MingLiU"/>
                <w:spacing w:val="4"/>
                <w:kern w:val="0"/>
                <w:szCs w:val="21"/>
              </w:rPr>
              <w:t>，按照以下原则确定中标候选人：</w:t>
            </w:r>
          </w:p>
          <w:p>
            <w:pPr>
              <w:spacing w:line="400" w:lineRule="exact"/>
              <w:ind w:firstLine="218" w:firstLineChars="100"/>
              <w:rPr>
                <w:rFonts w:ascii="宋体" w:hAnsi="宋体" w:cs="MingLiU"/>
                <w:spacing w:val="4"/>
                <w:kern w:val="0"/>
                <w:szCs w:val="21"/>
              </w:rPr>
            </w:pPr>
            <w:r>
              <w:rPr>
                <w:rFonts w:hint="eastAsia" w:ascii="宋体" w:hAnsi="宋体" w:cs="MingLiU"/>
                <w:spacing w:val="4"/>
                <w:kern w:val="0"/>
                <w:szCs w:val="21"/>
              </w:rPr>
              <w:t>评标委员会根据本章第2</w:t>
            </w:r>
            <w:r>
              <w:rPr>
                <w:rFonts w:ascii="宋体" w:hAnsi="宋体" w:cs="MingLiU"/>
                <w:spacing w:val="4"/>
                <w:kern w:val="0"/>
                <w:szCs w:val="21"/>
              </w:rPr>
              <w:t>.2</w:t>
            </w:r>
            <w:r>
              <w:rPr>
                <w:rFonts w:hint="eastAsia" w:ascii="宋体" w:hAnsi="宋体" w:cs="MingLiU"/>
                <w:spacing w:val="4"/>
                <w:kern w:val="0"/>
                <w:szCs w:val="21"/>
              </w:rPr>
              <w:t>款规定的量化因素及量化标准进行评审，按照经评审的报价由低到高的顺序推荐中标候选人。投标总报价相等时由比选人现场抽签决定。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860" w:type="dxa"/>
            <w:vMerge w:val="restart"/>
            <w:vAlign w:val="center"/>
          </w:tcPr>
          <w:p>
            <w:pPr>
              <w:spacing w:line="360" w:lineRule="auto"/>
              <w:rPr>
                <w:rFonts w:ascii="宋体" w:hAnsi="宋体"/>
                <w:kern w:val="0"/>
              </w:rPr>
            </w:pPr>
            <w:r>
              <w:rPr>
                <w:rFonts w:hint="eastAsia" w:ascii="宋体" w:hAnsi="宋体" w:cs="宋体"/>
                <w:kern w:val="0"/>
              </w:rPr>
              <w:t>2.1.1</w:t>
            </w:r>
          </w:p>
          <w:p>
            <w:pPr>
              <w:spacing w:line="360" w:lineRule="auto"/>
              <w:rPr>
                <w:rFonts w:ascii="宋体" w:hAnsi="宋体"/>
                <w:kern w:val="0"/>
              </w:rPr>
            </w:pPr>
          </w:p>
        </w:tc>
        <w:tc>
          <w:tcPr>
            <w:tcW w:w="1235" w:type="dxa"/>
            <w:vMerge w:val="restart"/>
            <w:textDirection w:val="tbRlV"/>
            <w:vAlign w:val="center"/>
          </w:tcPr>
          <w:p>
            <w:pPr>
              <w:spacing w:line="360" w:lineRule="auto"/>
              <w:ind w:left="113" w:leftChars="54" w:right="113"/>
              <w:rPr>
                <w:rFonts w:ascii="宋体" w:hAnsi="宋体" w:cs="宋体"/>
                <w:kern w:val="0"/>
              </w:rPr>
            </w:pPr>
            <w:r>
              <w:rPr>
                <w:rFonts w:hint="eastAsia" w:ascii="宋体" w:hAnsi="宋体"/>
                <w:kern w:val="0"/>
              </w:rPr>
              <w:t xml:space="preserve">              </w:t>
            </w:r>
            <w:r>
              <w:rPr>
                <w:rFonts w:hint="eastAsia" w:ascii="宋体" w:hAnsi="宋体"/>
                <w:kern w:val="0"/>
                <w:sz w:val="28"/>
                <w:szCs w:val="28"/>
              </w:rPr>
              <w:t xml:space="preserve"> </w:t>
            </w:r>
            <w:r>
              <w:rPr>
                <w:rFonts w:hint="eastAsia" w:ascii="宋体" w:hAnsi="宋体"/>
                <w:kern w:val="0"/>
                <w:sz w:val="24"/>
                <w:szCs w:val="24"/>
              </w:rPr>
              <w:t xml:space="preserve"> </w:t>
            </w:r>
            <w:r>
              <w:rPr>
                <w:rFonts w:hint="eastAsia" w:ascii="宋体" w:hAnsi="宋体" w:cs="宋体"/>
                <w:kern w:val="0"/>
                <w:sz w:val="24"/>
                <w:szCs w:val="24"/>
              </w:rPr>
              <w:t>形  式  评  审  标  准</w:t>
            </w:r>
          </w:p>
        </w:tc>
        <w:tc>
          <w:tcPr>
            <w:tcW w:w="2724" w:type="dxa"/>
            <w:gridSpan w:val="2"/>
            <w:vAlign w:val="center"/>
          </w:tcPr>
          <w:p>
            <w:pPr>
              <w:adjustRightInd w:val="0"/>
              <w:snapToGrid w:val="0"/>
              <w:spacing w:line="400" w:lineRule="exact"/>
              <w:jc w:val="center"/>
              <w:rPr>
                <w:rFonts w:ascii="宋体" w:hAnsi="宋体" w:cs="宋体"/>
              </w:rPr>
            </w:pPr>
            <w:r>
              <w:rPr>
                <w:rFonts w:hint="eastAsia" w:ascii="宋体" w:hAnsi="宋体" w:cs="宋体"/>
              </w:rPr>
              <w:t>投标人名称</w:t>
            </w:r>
          </w:p>
        </w:tc>
        <w:tc>
          <w:tcPr>
            <w:tcW w:w="4897" w:type="dxa"/>
            <w:vAlign w:val="center"/>
          </w:tcPr>
          <w:p>
            <w:pPr>
              <w:adjustRightInd w:val="0"/>
              <w:snapToGrid w:val="0"/>
              <w:spacing w:line="400" w:lineRule="exact"/>
              <w:ind w:firstLine="210" w:firstLineChars="100"/>
              <w:rPr>
                <w:rFonts w:ascii="宋体" w:hAnsi="宋体" w:cs="宋体"/>
              </w:rPr>
            </w:pPr>
            <w:r>
              <w:rPr>
                <w:rFonts w:hint="eastAsia" w:ascii="宋体" w:hAnsi="宋体" w:cs="宋体"/>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860" w:type="dxa"/>
            <w:vMerge w:val="continue"/>
          </w:tcPr>
          <w:p>
            <w:pPr>
              <w:spacing w:line="360" w:lineRule="auto"/>
              <w:rPr>
                <w:rFonts w:ascii="宋体" w:hAnsi="宋体"/>
              </w:rPr>
            </w:pPr>
          </w:p>
        </w:tc>
        <w:tc>
          <w:tcPr>
            <w:tcW w:w="1235" w:type="dxa"/>
            <w:vMerge w:val="continue"/>
          </w:tcPr>
          <w:p>
            <w:pPr>
              <w:spacing w:line="360" w:lineRule="auto"/>
              <w:ind w:left="113" w:leftChars="54" w:right="113"/>
              <w:rPr>
                <w:rFonts w:ascii="宋体" w:hAnsi="宋体"/>
              </w:rPr>
            </w:pPr>
          </w:p>
        </w:tc>
        <w:tc>
          <w:tcPr>
            <w:tcW w:w="2724" w:type="dxa"/>
            <w:gridSpan w:val="2"/>
            <w:vAlign w:val="center"/>
          </w:tcPr>
          <w:p>
            <w:pPr>
              <w:adjustRightInd w:val="0"/>
              <w:snapToGrid w:val="0"/>
              <w:spacing w:line="400" w:lineRule="exact"/>
              <w:jc w:val="center"/>
              <w:rPr>
                <w:rFonts w:ascii="宋体" w:hAnsi="宋体" w:cs="宋体"/>
              </w:rPr>
            </w:pPr>
            <w:r>
              <w:rPr>
                <w:rFonts w:hint="eastAsia" w:ascii="宋体" w:hAnsi="宋体" w:cs="宋体"/>
              </w:rPr>
              <w:t>投标函签字盖章</w:t>
            </w:r>
          </w:p>
        </w:tc>
        <w:tc>
          <w:tcPr>
            <w:tcW w:w="4897" w:type="dxa"/>
            <w:vAlign w:val="center"/>
          </w:tcPr>
          <w:p>
            <w:pPr>
              <w:adjustRightInd w:val="0"/>
              <w:snapToGrid w:val="0"/>
              <w:spacing w:line="400" w:lineRule="exact"/>
              <w:jc w:val="center"/>
              <w:rPr>
                <w:rFonts w:ascii="宋体" w:hAnsi="宋体" w:cs="宋体"/>
              </w:rPr>
            </w:pPr>
            <w:r>
              <w:rPr>
                <w:rFonts w:hint="eastAsia" w:ascii="宋体" w:hAnsi="宋体" w:cs="宋体"/>
              </w:rPr>
              <w:t>有法定代表人或其委托代理人签字、加盖单位公章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60" w:type="dxa"/>
            <w:vMerge w:val="continue"/>
          </w:tcPr>
          <w:p>
            <w:pPr>
              <w:spacing w:line="360" w:lineRule="auto"/>
              <w:rPr>
                <w:rFonts w:ascii="宋体" w:hAnsi="宋体"/>
              </w:rPr>
            </w:pPr>
          </w:p>
        </w:tc>
        <w:tc>
          <w:tcPr>
            <w:tcW w:w="1235" w:type="dxa"/>
            <w:vMerge w:val="continue"/>
          </w:tcPr>
          <w:p>
            <w:pPr>
              <w:spacing w:line="360" w:lineRule="auto"/>
              <w:ind w:left="113" w:leftChars="54" w:right="113"/>
              <w:rPr>
                <w:rFonts w:ascii="宋体" w:hAnsi="宋体"/>
              </w:rPr>
            </w:pPr>
          </w:p>
        </w:tc>
        <w:tc>
          <w:tcPr>
            <w:tcW w:w="2724" w:type="dxa"/>
            <w:gridSpan w:val="2"/>
            <w:vAlign w:val="center"/>
          </w:tcPr>
          <w:p>
            <w:pPr>
              <w:spacing w:line="400" w:lineRule="exact"/>
              <w:jc w:val="center"/>
              <w:rPr>
                <w:rFonts w:ascii="宋体" w:hAnsi="宋体" w:cs="宋体"/>
                <w:kern w:val="0"/>
              </w:rPr>
            </w:pPr>
            <w:r>
              <w:rPr>
                <w:rFonts w:hint="eastAsia" w:ascii="宋体" w:hAnsi="宋体" w:cs="宋体"/>
                <w:kern w:val="0"/>
              </w:rPr>
              <w:t>投标文件格式</w:t>
            </w:r>
          </w:p>
        </w:tc>
        <w:tc>
          <w:tcPr>
            <w:tcW w:w="4897" w:type="dxa"/>
            <w:vAlign w:val="center"/>
          </w:tcPr>
          <w:p>
            <w:pPr>
              <w:snapToGrid w:val="0"/>
              <w:spacing w:line="400" w:lineRule="exact"/>
              <w:ind w:firstLine="210" w:firstLineChars="100"/>
              <w:rPr>
                <w:rFonts w:ascii="宋体" w:hAnsi="宋体" w:cs="宋体"/>
                <w:kern w:val="0"/>
              </w:rPr>
            </w:pPr>
            <w:r>
              <w:rPr>
                <w:rFonts w:hint="eastAsia" w:ascii="宋体" w:hAnsi="宋体" w:cs="宋体"/>
                <w:kern w:val="0"/>
              </w:rPr>
              <w:t>符合第七章“投标文件格式”的要求，字迹清晰可辨。</w:t>
            </w:r>
          </w:p>
          <w:p>
            <w:pPr>
              <w:snapToGrid w:val="0"/>
              <w:spacing w:line="400" w:lineRule="exact"/>
              <w:ind w:firstLine="210" w:firstLineChars="100"/>
              <w:rPr>
                <w:rFonts w:ascii="宋体" w:hAnsi="宋体" w:cs="宋体"/>
                <w:kern w:val="0"/>
              </w:rPr>
            </w:pPr>
            <w:r>
              <w:rPr>
                <w:rFonts w:hint="eastAsia" w:ascii="宋体" w:hAnsi="宋体" w:cs="宋体"/>
                <w:kern w:val="0"/>
              </w:rPr>
              <w:t>1.投标函的所有数据均符合比选文件的规定；</w:t>
            </w:r>
          </w:p>
          <w:p>
            <w:pPr>
              <w:snapToGrid w:val="0"/>
              <w:spacing w:line="400" w:lineRule="exact"/>
              <w:ind w:firstLine="210" w:firstLineChars="100"/>
              <w:rPr>
                <w:rFonts w:ascii="宋体" w:hAnsi="宋体" w:cs="宋体"/>
                <w:kern w:val="0"/>
              </w:rPr>
            </w:pPr>
            <w:r>
              <w:rPr>
                <w:rFonts w:hint="eastAsia" w:ascii="宋体" w:hAnsi="宋体" w:cs="宋体"/>
                <w:kern w:val="0"/>
              </w:rPr>
              <w:t>2.投标文件附表齐全完整，内容均按规定填写；</w:t>
            </w:r>
          </w:p>
          <w:p>
            <w:pPr>
              <w:snapToGrid w:val="0"/>
              <w:spacing w:line="400" w:lineRule="exact"/>
              <w:ind w:firstLine="210" w:firstLineChars="100"/>
              <w:rPr>
                <w:rFonts w:ascii="宋体" w:hAnsi="宋体" w:cs="宋体"/>
                <w:kern w:val="0"/>
              </w:rPr>
            </w:pPr>
            <w:r>
              <w:rPr>
                <w:rFonts w:hint="eastAsia" w:ascii="宋体" w:hAnsi="宋体" w:cs="宋体"/>
                <w:kern w:val="0"/>
              </w:rPr>
              <w:t>3.按规定提供了拟投入的主要人员的证件复印件，证件清晰可辨、有效；</w:t>
            </w:r>
          </w:p>
          <w:p>
            <w:pPr>
              <w:snapToGrid w:val="0"/>
              <w:spacing w:line="400" w:lineRule="exact"/>
              <w:ind w:firstLine="210" w:firstLineChars="100"/>
              <w:rPr>
                <w:rFonts w:ascii="宋体" w:hAnsi="宋体" w:cs="宋体"/>
                <w:kern w:val="0"/>
              </w:rPr>
            </w:pPr>
            <w:r>
              <w:rPr>
                <w:rFonts w:hint="eastAsia" w:ascii="宋体" w:hAnsi="宋体" w:cs="宋体"/>
                <w:kern w:val="0"/>
              </w:rPr>
              <w:t>4.投标文件的编制符合第二章3.7款的规定。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860" w:type="dxa"/>
            <w:vMerge w:val="continue"/>
            <w:vAlign w:val="center"/>
          </w:tcPr>
          <w:p>
            <w:pPr>
              <w:spacing w:line="360" w:lineRule="auto"/>
              <w:rPr>
                <w:rFonts w:ascii="宋体" w:hAnsi="宋体"/>
                <w:kern w:val="0"/>
              </w:rPr>
            </w:pPr>
          </w:p>
        </w:tc>
        <w:tc>
          <w:tcPr>
            <w:tcW w:w="1235" w:type="dxa"/>
            <w:vMerge w:val="continue"/>
            <w:textDirection w:val="tbRlV"/>
            <w:vAlign w:val="center"/>
          </w:tcPr>
          <w:p>
            <w:pPr>
              <w:spacing w:line="360" w:lineRule="auto"/>
              <w:ind w:left="113" w:leftChars="54" w:right="113"/>
              <w:rPr>
                <w:rFonts w:ascii="宋体" w:hAnsi="宋体"/>
                <w:kern w:val="0"/>
              </w:rPr>
            </w:pPr>
          </w:p>
        </w:tc>
        <w:tc>
          <w:tcPr>
            <w:tcW w:w="2724" w:type="dxa"/>
            <w:gridSpan w:val="2"/>
            <w:vAlign w:val="center"/>
          </w:tcPr>
          <w:p>
            <w:pPr>
              <w:spacing w:line="400" w:lineRule="exact"/>
              <w:jc w:val="center"/>
              <w:rPr>
                <w:rFonts w:ascii="宋体" w:hAnsi="宋体" w:cs="宋体"/>
                <w:kern w:val="0"/>
              </w:rPr>
            </w:pPr>
            <w:r>
              <w:rPr>
                <w:rFonts w:hint="eastAsia" w:ascii="宋体" w:hAnsi="宋体" w:cs="宋体"/>
                <w:kern w:val="0"/>
              </w:rPr>
              <w:t>报价唯一</w:t>
            </w:r>
          </w:p>
        </w:tc>
        <w:tc>
          <w:tcPr>
            <w:tcW w:w="4897" w:type="dxa"/>
            <w:vAlign w:val="center"/>
          </w:tcPr>
          <w:p>
            <w:pPr>
              <w:snapToGrid w:val="0"/>
              <w:spacing w:line="400" w:lineRule="exact"/>
              <w:ind w:firstLine="210" w:firstLineChars="100"/>
              <w:rPr>
                <w:rFonts w:ascii="宋体" w:hAnsi="宋体" w:cs="宋体"/>
                <w:kern w:val="0"/>
              </w:rPr>
            </w:pPr>
            <w:r>
              <w:rPr>
                <w:rFonts w:hint="eastAsia" w:ascii="宋体" w:hAnsi="宋体" w:cs="宋体"/>
                <w:kern w:val="0"/>
              </w:rPr>
              <w:t>只能有一个有效报价，在比选文件没有规定的情况下，不得提交选择性报价。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60" w:type="dxa"/>
            <w:vMerge w:val="continue"/>
          </w:tcPr>
          <w:p>
            <w:pPr>
              <w:spacing w:line="360" w:lineRule="auto"/>
              <w:rPr>
                <w:rFonts w:ascii="宋体" w:hAnsi="宋体"/>
              </w:rPr>
            </w:pPr>
          </w:p>
        </w:tc>
        <w:tc>
          <w:tcPr>
            <w:tcW w:w="1235" w:type="dxa"/>
            <w:vMerge w:val="continue"/>
          </w:tcPr>
          <w:p>
            <w:pPr>
              <w:spacing w:line="360" w:lineRule="auto"/>
              <w:rPr>
                <w:rFonts w:ascii="宋体" w:hAnsi="宋体"/>
              </w:rPr>
            </w:pPr>
          </w:p>
        </w:tc>
        <w:tc>
          <w:tcPr>
            <w:tcW w:w="2724" w:type="dxa"/>
            <w:gridSpan w:val="2"/>
            <w:vAlign w:val="center"/>
          </w:tcPr>
          <w:p>
            <w:pPr>
              <w:spacing w:line="400" w:lineRule="exact"/>
              <w:jc w:val="center"/>
              <w:rPr>
                <w:rFonts w:ascii="宋体" w:hAnsi="宋体" w:cs="宋体"/>
                <w:kern w:val="0"/>
              </w:rPr>
            </w:pPr>
            <w:r>
              <w:rPr>
                <w:rFonts w:hint="eastAsia" w:ascii="宋体" w:hAnsi="宋体" w:cs="宋体"/>
                <w:kern w:val="0"/>
              </w:rPr>
              <w:t>投标文件的签署</w:t>
            </w:r>
          </w:p>
        </w:tc>
        <w:tc>
          <w:tcPr>
            <w:tcW w:w="4897" w:type="dxa"/>
            <w:vAlign w:val="center"/>
          </w:tcPr>
          <w:p>
            <w:pPr>
              <w:snapToGrid w:val="0"/>
              <w:spacing w:line="400" w:lineRule="exact"/>
              <w:ind w:firstLine="210" w:firstLineChars="100"/>
              <w:rPr>
                <w:rFonts w:ascii="宋体" w:hAnsi="宋体" w:cs="宋体"/>
                <w:kern w:val="0"/>
              </w:rPr>
            </w:pPr>
            <w:r>
              <w:rPr>
                <w:rFonts w:hint="eastAsia" w:ascii="宋体" w:hAnsi="宋体" w:cs="宋体"/>
                <w:kern w:val="0"/>
              </w:rPr>
              <w:t>投标文件上法定代表人或其授权代理人的签字齐全，符合比选文件规定。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9" w:hRule="atLeast"/>
          <w:jc w:val="center"/>
        </w:trPr>
        <w:tc>
          <w:tcPr>
            <w:tcW w:w="860" w:type="dxa"/>
            <w:vMerge w:val="continue"/>
          </w:tcPr>
          <w:p>
            <w:pPr>
              <w:spacing w:line="360" w:lineRule="auto"/>
              <w:rPr>
                <w:rFonts w:ascii="宋体" w:hAnsi="宋体"/>
              </w:rPr>
            </w:pPr>
          </w:p>
        </w:tc>
        <w:tc>
          <w:tcPr>
            <w:tcW w:w="1235" w:type="dxa"/>
            <w:vMerge w:val="continue"/>
          </w:tcPr>
          <w:p>
            <w:pPr>
              <w:spacing w:line="360" w:lineRule="auto"/>
              <w:rPr>
                <w:rFonts w:ascii="宋体" w:hAnsi="宋体"/>
              </w:rPr>
            </w:pPr>
          </w:p>
        </w:tc>
        <w:tc>
          <w:tcPr>
            <w:tcW w:w="2724" w:type="dxa"/>
            <w:gridSpan w:val="2"/>
            <w:vAlign w:val="center"/>
          </w:tcPr>
          <w:p>
            <w:pPr>
              <w:spacing w:line="400" w:lineRule="exact"/>
              <w:jc w:val="center"/>
              <w:rPr>
                <w:rFonts w:ascii="宋体" w:hAnsi="宋体"/>
                <w:kern w:val="0"/>
              </w:rPr>
            </w:pPr>
            <w:r>
              <w:rPr>
                <w:rFonts w:hint="eastAsia" w:ascii="宋体" w:hAnsi="宋体"/>
                <w:kern w:val="0"/>
              </w:rPr>
              <w:t>委托代理人</w:t>
            </w:r>
          </w:p>
        </w:tc>
        <w:tc>
          <w:tcPr>
            <w:tcW w:w="4897" w:type="dxa"/>
            <w:vAlign w:val="center"/>
          </w:tcPr>
          <w:p>
            <w:pPr>
              <w:snapToGrid w:val="0"/>
              <w:spacing w:line="400" w:lineRule="exact"/>
              <w:ind w:firstLine="210" w:firstLineChars="100"/>
              <w:jc w:val="left"/>
              <w:rPr>
                <w:rFonts w:ascii="宋体" w:hAnsi="宋体" w:cs="宋体"/>
                <w:kern w:val="0"/>
              </w:rPr>
            </w:pPr>
            <w:r>
              <w:rPr>
                <w:rFonts w:hint="eastAsia" w:ascii="宋体" w:hAnsi="宋体" w:cs="宋体"/>
                <w:kern w:val="0"/>
              </w:rPr>
              <w:t>投标人法定代表人的委托代理人有法定代表人签署的授权委托书，且其授权委托书符合比选文件规定的格式。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60" w:type="dxa"/>
            <w:vMerge w:val="restart"/>
            <w:vAlign w:val="center"/>
          </w:tcPr>
          <w:p>
            <w:pPr>
              <w:spacing w:line="360" w:lineRule="auto"/>
              <w:jc w:val="center"/>
              <w:rPr>
                <w:rFonts w:ascii="宋体" w:hAnsi="宋体" w:cs="宋体"/>
                <w:kern w:val="0"/>
              </w:rPr>
            </w:pPr>
            <w:r>
              <w:rPr>
                <w:rFonts w:hint="eastAsia" w:ascii="宋体" w:hAnsi="宋体" w:cs="宋体"/>
                <w:kern w:val="0"/>
              </w:rPr>
              <w:t>2.1.2</w:t>
            </w:r>
          </w:p>
        </w:tc>
        <w:tc>
          <w:tcPr>
            <w:tcW w:w="1235" w:type="dxa"/>
            <w:vMerge w:val="restart"/>
            <w:textDirection w:val="tbRlV"/>
            <w:vAlign w:val="center"/>
          </w:tcPr>
          <w:p>
            <w:pPr>
              <w:spacing w:line="360" w:lineRule="auto"/>
              <w:ind w:left="113" w:right="113"/>
              <w:jc w:val="center"/>
              <w:rPr>
                <w:rFonts w:ascii="宋体" w:hAnsi="宋体"/>
                <w:kern w:val="0"/>
              </w:rPr>
            </w:pPr>
            <w:r>
              <w:rPr>
                <w:rFonts w:hint="eastAsia" w:ascii="宋体" w:hAnsi="宋体" w:cs="宋体"/>
                <w:kern w:val="0"/>
                <w:sz w:val="24"/>
                <w:szCs w:val="24"/>
              </w:rPr>
              <w:t>资格评审标准</w:t>
            </w:r>
          </w:p>
        </w:tc>
        <w:tc>
          <w:tcPr>
            <w:tcW w:w="875" w:type="dxa"/>
            <w:vMerge w:val="restart"/>
            <w:textDirection w:val="tbRlV"/>
            <w:vAlign w:val="center"/>
          </w:tcPr>
          <w:p>
            <w:pPr>
              <w:spacing w:line="400" w:lineRule="exact"/>
              <w:jc w:val="center"/>
              <w:rPr>
                <w:rFonts w:ascii="宋体" w:hAnsi="宋体" w:cs="宋体"/>
                <w:kern w:val="0"/>
              </w:rPr>
            </w:pPr>
            <w:r>
              <w:rPr>
                <w:rFonts w:hint="eastAsia" w:ascii="宋体" w:hAnsi="宋体" w:cs="宋体"/>
                <w:kern w:val="0"/>
                <w:sz w:val="24"/>
                <w:szCs w:val="24"/>
              </w:rPr>
              <w:t>必要合格条件</w:t>
            </w:r>
          </w:p>
        </w:tc>
        <w:tc>
          <w:tcPr>
            <w:tcW w:w="1849" w:type="dxa"/>
            <w:vAlign w:val="center"/>
          </w:tcPr>
          <w:p>
            <w:pPr>
              <w:adjustRightInd w:val="0"/>
              <w:snapToGrid w:val="0"/>
              <w:jc w:val="center"/>
              <w:rPr>
                <w:rFonts w:ascii="宋体" w:hAnsi="宋体" w:cs="宋体"/>
                <w:kern w:val="0"/>
              </w:rPr>
            </w:pPr>
            <w:r>
              <w:rPr>
                <w:rFonts w:hint="eastAsia" w:ascii="宋体" w:hAnsi="宋体" w:cs="宋体"/>
                <w:kern w:val="0"/>
              </w:rPr>
              <w:t>营业执照</w:t>
            </w:r>
          </w:p>
        </w:tc>
        <w:tc>
          <w:tcPr>
            <w:tcW w:w="4897" w:type="dxa"/>
            <w:vAlign w:val="center"/>
          </w:tcPr>
          <w:p>
            <w:pPr>
              <w:adjustRightInd w:val="0"/>
              <w:snapToGrid w:val="0"/>
              <w:rPr>
                <w:rFonts w:ascii="宋体" w:hAnsi="宋体" w:cs="宋体"/>
                <w:kern w:val="0"/>
              </w:rPr>
            </w:pPr>
            <w:r>
              <w:rPr>
                <w:rFonts w:hint="eastAsia" w:ascii="宋体" w:hAnsi="宋体" w:cs="宋体"/>
                <w:kern w:val="0"/>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860" w:type="dxa"/>
            <w:vMerge w:val="continue"/>
          </w:tcPr>
          <w:p>
            <w:pPr>
              <w:spacing w:line="360" w:lineRule="auto"/>
              <w:rPr>
                <w:rFonts w:ascii="宋体" w:hAnsi="宋体"/>
              </w:rPr>
            </w:pPr>
          </w:p>
        </w:tc>
        <w:tc>
          <w:tcPr>
            <w:tcW w:w="1235" w:type="dxa"/>
            <w:vMerge w:val="continue"/>
          </w:tcPr>
          <w:p>
            <w:pPr>
              <w:spacing w:line="360" w:lineRule="auto"/>
              <w:rPr>
                <w:rFonts w:ascii="宋体" w:hAnsi="宋体"/>
              </w:rPr>
            </w:pPr>
          </w:p>
        </w:tc>
        <w:tc>
          <w:tcPr>
            <w:tcW w:w="875" w:type="dxa"/>
            <w:vMerge w:val="continue"/>
          </w:tcPr>
          <w:p>
            <w:pPr>
              <w:spacing w:line="360" w:lineRule="exact"/>
              <w:ind w:firstLine="105"/>
              <w:jc w:val="left"/>
              <w:rPr>
                <w:rFonts w:ascii="宋体" w:hAnsi="宋体" w:cs="宋体"/>
                <w:kern w:val="0"/>
              </w:rPr>
            </w:pPr>
          </w:p>
        </w:tc>
        <w:tc>
          <w:tcPr>
            <w:tcW w:w="1849" w:type="dxa"/>
            <w:vAlign w:val="center"/>
          </w:tcPr>
          <w:p>
            <w:pPr>
              <w:adjustRightInd w:val="0"/>
              <w:snapToGrid w:val="0"/>
              <w:jc w:val="center"/>
              <w:rPr>
                <w:rFonts w:ascii="宋体" w:hAnsi="宋体" w:cs="宋体"/>
              </w:rPr>
            </w:pPr>
            <w:r>
              <w:rPr>
                <w:rFonts w:hint="eastAsia" w:ascii="宋体" w:hAnsi="宋体" w:cs="宋体"/>
                <w:kern w:val="0"/>
              </w:rPr>
              <w:t>安全生产条件</w:t>
            </w:r>
          </w:p>
        </w:tc>
        <w:tc>
          <w:tcPr>
            <w:tcW w:w="4897" w:type="dxa"/>
            <w:vAlign w:val="center"/>
          </w:tcPr>
          <w:p>
            <w:pPr>
              <w:adjustRightInd w:val="0"/>
              <w:snapToGrid w:val="0"/>
              <w:rPr>
                <w:rFonts w:ascii="宋体" w:hAnsi="宋体" w:cs="宋体"/>
              </w:rPr>
            </w:pPr>
            <w:r>
              <w:rPr>
                <w:rFonts w:hint="eastAsia" w:ascii="宋体" w:hAnsi="宋体" w:cs="宋体"/>
                <w:kern w:val="0"/>
              </w:rPr>
              <w:t>具备建设行政主管部门颁发的有效的安全生产许可证，企业负责人、拟担任该项目的项目经理和专职安全生产管理人员（即“三类人员”）具备建设行政主管部门颁发的相应的安全生产考核合格证书且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860" w:type="dxa"/>
            <w:vMerge w:val="continue"/>
          </w:tcPr>
          <w:p>
            <w:pPr>
              <w:spacing w:line="360" w:lineRule="auto"/>
              <w:rPr>
                <w:rFonts w:ascii="宋体" w:hAnsi="宋体"/>
              </w:rPr>
            </w:pPr>
          </w:p>
        </w:tc>
        <w:tc>
          <w:tcPr>
            <w:tcW w:w="1235" w:type="dxa"/>
            <w:vMerge w:val="continue"/>
          </w:tcPr>
          <w:p>
            <w:pPr>
              <w:spacing w:line="360" w:lineRule="auto"/>
              <w:rPr>
                <w:rFonts w:ascii="宋体" w:hAnsi="宋体"/>
              </w:rPr>
            </w:pPr>
          </w:p>
        </w:tc>
        <w:tc>
          <w:tcPr>
            <w:tcW w:w="875" w:type="dxa"/>
            <w:vMerge w:val="continue"/>
          </w:tcPr>
          <w:p>
            <w:pPr>
              <w:spacing w:line="360" w:lineRule="exact"/>
              <w:ind w:firstLine="105"/>
              <w:jc w:val="left"/>
              <w:rPr>
                <w:rFonts w:ascii="宋体" w:hAnsi="宋体" w:cs="宋体"/>
                <w:kern w:val="0"/>
              </w:rPr>
            </w:pPr>
          </w:p>
        </w:tc>
        <w:tc>
          <w:tcPr>
            <w:tcW w:w="1849" w:type="dxa"/>
            <w:vAlign w:val="center"/>
          </w:tcPr>
          <w:p>
            <w:pPr>
              <w:adjustRightInd w:val="0"/>
              <w:snapToGrid w:val="0"/>
              <w:jc w:val="center"/>
              <w:rPr>
                <w:rFonts w:ascii="宋体" w:hAnsi="宋体" w:cs="宋体"/>
              </w:rPr>
            </w:pPr>
            <w:r>
              <w:rPr>
                <w:rFonts w:hint="eastAsia" w:ascii="宋体" w:hAnsi="宋体" w:cs="宋体"/>
                <w:kern w:val="0"/>
              </w:rPr>
              <w:t>资质等级</w:t>
            </w:r>
          </w:p>
        </w:tc>
        <w:tc>
          <w:tcPr>
            <w:tcW w:w="4897" w:type="dxa"/>
            <w:vAlign w:val="center"/>
          </w:tcPr>
          <w:p>
            <w:pPr>
              <w:adjustRightInd w:val="0"/>
              <w:snapToGrid w:val="0"/>
              <w:rPr>
                <w:rFonts w:ascii="宋体" w:hAnsi="宋体" w:cs="宋体"/>
              </w:rPr>
            </w:pPr>
            <w:r>
              <w:rPr>
                <w:rFonts w:hint="eastAsia" w:ascii="宋体" w:hAnsi="宋体" w:cs="宋体"/>
                <w:kern w:val="0"/>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860" w:type="dxa"/>
            <w:vMerge w:val="continue"/>
          </w:tcPr>
          <w:p>
            <w:pPr>
              <w:spacing w:line="360" w:lineRule="auto"/>
              <w:rPr>
                <w:rFonts w:ascii="宋体" w:hAnsi="宋体"/>
              </w:rPr>
            </w:pPr>
          </w:p>
        </w:tc>
        <w:tc>
          <w:tcPr>
            <w:tcW w:w="1235" w:type="dxa"/>
            <w:vMerge w:val="continue"/>
          </w:tcPr>
          <w:p>
            <w:pPr>
              <w:spacing w:line="360" w:lineRule="auto"/>
              <w:rPr>
                <w:rFonts w:ascii="宋体" w:hAnsi="宋体"/>
              </w:rPr>
            </w:pPr>
          </w:p>
        </w:tc>
        <w:tc>
          <w:tcPr>
            <w:tcW w:w="875" w:type="dxa"/>
            <w:vMerge w:val="continue"/>
          </w:tcPr>
          <w:p>
            <w:pPr>
              <w:spacing w:line="360" w:lineRule="exact"/>
              <w:ind w:firstLine="105"/>
              <w:jc w:val="left"/>
              <w:rPr>
                <w:rFonts w:ascii="宋体" w:hAnsi="宋体" w:cs="宋体"/>
                <w:kern w:val="0"/>
              </w:rPr>
            </w:pPr>
          </w:p>
        </w:tc>
        <w:tc>
          <w:tcPr>
            <w:tcW w:w="1849" w:type="dxa"/>
            <w:vAlign w:val="center"/>
          </w:tcPr>
          <w:p>
            <w:pPr>
              <w:adjustRightInd w:val="0"/>
              <w:snapToGrid w:val="0"/>
              <w:jc w:val="center"/>
              <w:rPr>
                <w:rFonts w:ascii="宋体" w:hAnsi="宋体" w:cs="宋体"/>
              </w:rPr>
            </w:pPr>
            <w:r>
              <w:rPr>
                <w:rFonts w:hint="eastAsia" w:ascii="宋体" w:hAnsi="宋体" w:cs="MingLiU"/>
                <w:snapToGrid w:val="0"/>
                <w:kern w:val="0"/>
                <w:szCs w:val="21"/>
              </w:rPr>
              <w:t>投标截止日投标资格情况</w:t>
            </w:r>
          </w:p>
        </w:tc>
        <w:tc>
          <w:tcPr>
            <w:tcW w:w="4897" w:type="dxa"/>
            <w:vAlign w:val="center"/>
          </w:tcPr>
          <w:p>
            <w:pPr>
              <w:adjustRightInd w:val="0"/>
              <w:snapToGrid w:val="0"/>
              <w:rPr>
                <w:rFonts w:ascii="宋体" w:hAnsi="宋体" w:cs="宋体"/>
              </w:rPr>
            </w:pPr>
            <w:r>
              <w:rPr>
                <w:rFonts w:hint="eastAsia" w:ascii="宋体" w:hAnsi="宋体" w:cs="宋体"/>
                <w:kern w:val="0"/>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860" w:type="dxa"/>
            <w:vMerge w:val="continue"/>
          </w:tcPr>
          <w:p>
            <w:pPr>
              <w:spacing w:line="360" w:lineRule="auto"/>
              <w:rPr>
                <w:rFonts w:ascii="宋体" w:hAnsi="宋体"/>
              </w:rPr>
            </w:pPr>
          </w:p>
        </w:tc>
        <w:tc>
          <w:tcPr>
            <w:tcW w:w="1235" w:type="dxa"/>
            <w:vMerge w:val="continue"/>
          </w:tcPr>
          <w:p>
            <w:pPr>
              <w:spacing w:line="360" w:lineRule="auto"/>
              <w:rPr>
                <w:rFonts w:ascii="宋体" w:hAnsi="宋体"/>
              </w:rPr>
            </w:pPr>
          </w:p>
        </w:tc>
        <w:tc>
          <w:tcPr>
            <w:tcW w:w="875" w:type="dxa"/>
            <w:vMerge w:val="continue"/>
          </w:tcPr>
          <w:p>
            <w:pPr>
              <w:spacing w:line="360" w:lineRule="exact"/>
              <w:ind w:firstLine="105"/>
              <w:jc w:val="left"/>
              <w:rPr>
                <w:rFonts w:ascii="宋体" w:hAnsi="宋体" w:cs="宋体"/>
                <w:kern w:val="0"/>
              </w:rPr>
            </w:pPr>
          </w:p>
        </w:tc>
        <w:tc>
          <w:tcPr>
            <w:tcW w:w="1849" w:type="dxa"/>
            <w:vAlign w:val="center"/>
          </w:tcPr>
          <w:p>
            <w:pPr>
              <w:adjustRightInd w:val="0"/>
              <w:snapToGrid w:val="0"/>
              <w:ind w:firstLine="210" w:firstLineChars="100"/>
              <w:rPr>
                <w:rFonts w:ascii="宋体" w:hAnsi="宋体" w:cs="宋体"/>
                <w:kern w:val="0"/>
              </w:rPr>
            </w:pPr>
            <w:r>
              <w:rPr>
                <w:rFonts w:hint="eastAsia" w:ascii="宋体" w:hAnsi="宋体" w:cs="宋体"/>
                <w:kern w:val="0"/>
              </w:rPr>
              <w:t>项目经理</w:t>
            </w:r>
          </w:p>
          <w:p>
            <w:pPr>
              <w:adjustRightInd w:val="0"/>
              <w:snapToGrid w:val="0"/>
              <w:ind w:firstLine="210" w:firstLineChars="100"/>
              <w:rPr>
                <w:rFonts w:ascii="宋体" w:hAnsi="宋体" w:cs="宋体"/>
              </w:rPr>
            </w:pPr>
            <w:r>
              <w:rPr>
                <w:rFonts w:hint="eastAsia" w:ascii="宋体" w:hAnsi="宋体" w:cs="宋体"/>
                <w:kern w:val="0"/>
              </w:rPr>
              <w:t>资格要求</w:t>
            </w:r>
          </w:p>
        </w:tc>
        <w:tc>
          <w:tcPr>
            <w:tcW w:w="4897" w:type="dxa"/>
            <w:vAlign w:val="center"/>
          </w:tcPr>
          <w:p>
            <w:pPr>
              <w:adjustRightInd w:val="0"/>
              <w:snapToGrid w:val="0"/>
              <w:rPr>
                <w:rFonts w:ascii="宋体" w:hAnsi="宋体" w:cs="宋体"/>
              </w:rPr>
            </w:pPr>
            <w:r>
              <w:rPr>
                <w:rFonts w:hint="eastAsia" w:ascii="宋体" w:hAnsi="宋体" w:cs="宋体"/>
                <w:kern w:val="0"/>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860" w:type="dxa"/>
            <w:vMerge w:val="continue"/>
          </w:tcPr>
          <w:p>
            <w:pPr>
              <w:spacing w:line="360" w:lineRule="auto"/>
              <w:rPr>
                <w:rFonts w:ascii="宋体" w:hAnsi="宋体"/>
              </w:rPr>
            </w:pPr>
          </w:p>
        </w:tc>
        <w:tc>
          <w:tcPr>
            <w:tcW w:w="1235" w:type="dxa"/>
            <w:vMerge w:val="continue"/>
          </w:tcPr>
          <w:p>
            <w:pPr>
              <w:spacing w:line="360" w:lineRule="auto"/>
              <w:rPr>
                <w:rFonts w:ascii="宋体" w:hAnsi="宋体"/>
              </w:rPr>
            </w:pPr>
          </w:p>
        </w:tc>
        <w:tc>
          <w:tcPr>
            <w:tcW w:w="875" w:type="dxa"/>
            <w:vMerge w:val="continue"/>
          </w:tcPr>
          <w:p>
            <w:pPr>
              <w:spacing w:line="360" w:lineRule="exact"/>
              <w:ind w:firstLine="105"/>
              <w:jc w:val="left"/>
              <w:rPr>
                <w:rFonts w:ascii="宋体" w:hAnsi="宋体" w:cs="宋体"/>
                <w:kern w:val="0"/>
              </w:rPr>
            </w:pPr>
          </w:p>
        </w:tc>
        <w:tc>
          <w:tcPr>
            <w:tcW w:w="1849" w:type="dxa"/>
            <w:vAlign w:val="center"/>
          </w:tcPr>
          <w:p>
            <w:pPr>
              <w:adjustRightInd w:val="0"/>
              <w:snapToGrid w:val="0"/>
              <w:jc w:val="center"/>
              <w:rPr>
                <w:rFonts w:ascii="宋体" w:hAnsi="宋体" w:cs="宋体"/>
              </w:rPr>
            </w:pPr>
            <w:r>
              <w:rPr>
                <w:rFonts w:hint="eastAsia" w:ascii="宋体" w:hAnsi="宋体" w:cs="宋体"/>
                <w:kern w:val="0"/>
              </w:rPr>
              <w:t>其他要求</w:t>
            </w:r>
          </w:p>
        </w:tc>
        <w:tc>
          <w:tcPr>
            <w:tcW w:w="4897" w:type="dxa"/>
            <w:vAlign w:val="center"/>
          </w:tcPr>
          <w:p>
            <w:pPr>
              <w:adjustRightInd w:val="0"/>
              <w:snapToGrid w:val="0"/>
              <w:spacing w:before="120" w:beforeLines="50"/>
              <w:rPr>
                <w:rFonts w:ascii="宋体" w:hAnsi="宋体" w:cs="宋体"/>
              </w:rPr>
            </w:pPr>
            <w:r>
              <w:rPr>
                <w:rFonts w:hint="eastAsia" w:ascii="宋体" w:hAnsi="宋体" w:cs="宋体"/>
                <w:kern w:val="0"/>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60" w:type="dxa"/>
            <w:vMerge w:val="restart"/>
            <w:vAlign w:val="center"/>
          </w:tcPr>
          <w:p>
            <w:pPr>
              <w:spacing w:line="360" w:lineRule="auto"/>
              <w:jc w:val="center"/>
              <w:rPr>
                <w:rFonts w:ascii="宋体" w:hAnsi="宋体" w:cs="宋体"/>
              </w:rPr>
            </w:pPr>
            <w:r>
              <w:rPr>
                <w:rFonts w:hint="eastAsia" w:ascii="宋体" w:hAnsi="宋体" w:cs="宋体"/>
                <w:kern w:val="0"/>
              </w:rPr>
              <w:t>2.1.3</w:t>
            </w:r>
          </w:p>
        </w:tc>
        <w:tc>
          <w:tcPr>
            <w:tcW w:w="1235" w:type="dxa"/>
            <w:vMerge w:val="restart"/>
            <w:textDirection w:val="tbRlV"/>
            <w:vAlign w:val="center"/>
          </w:tcPr>
          <w:p>
            <w:pPr>
              <w:snapToGrid w:val="0"/>
              <w:spacing w:line="360" w:lineRule="auto"/>
              <w:ind w:left="113" w:right="113"/>
              <w:jc w:val="center"/>
              <w:rPr>
                <w:rFonts w:ascii="宋体" w:hAnsi="宋体" w:cs="宋体"/>
              </w:rPr>
            </w:pPr>
            <w:r>
              <w:rPr>
                <w:rFonts w:hint="eastAsia" w:ascii="宋体" w:hAnsi="宋体" w:cs="宋体"/>
              </w:rPr>
              <w:t>响应性评审</w:t>
            </w:r>
          </w:p>
        </w:tc>
        <w:tc>
          <w:tcPr>
            <w:tcW w:w="2724" w:type="dxa"/>
            <w:gridSpan w:val="2"/>
            <w:vAlign w:val="center"/>
          </w:tcPr>
          <w:p>
            <w:pPr>
              <w:adjustRightInd w:val="0"/>
              <w:snapToGrid w:val="0"/>
              <w:spacing w:line="360" w:lineRule="exact"/>
              <w:jc w:val="center"/>
              <w:rPr>
                <w:rFonts w:ascii="宋体" w:hAnsi="宋体" w:cs="宋体"/>
              </w:rPr>
            </w:pPr>
            <w:r>
              <w:rPr>
                <w:rFonts w:hint="eastAsia" w:ascii="宋体" w:hAnsi="宋体" w:cs="宋体"/>
              </w:rPr>
              <w:t>投标总报价</w:t>
            </w:r>
          </w:p>
        </w:tc>
        <w:tc>
          <w:tcPr>
            <w:tcW w:w="4897" w:type="dxa"/>
            <w:vAlign w:val="center"/>
          </w:tcPr>
          <w:p>
            <w:pPr>
              <w:adjustRightInd w:val="0"/>
              <w:snapToGrid w:val="0"/>
              <w:spacing w:line="400" w:lineRule="exact"/>
              <w:ind w:firstLine="210" w:firstLineChars="100"/>
              <w:rPr>
                <w:rFonts w:ascii="宋体" w:hAnsi="宋体" w:cs="宋体"/>
              </w:rPr>
            </w:pPr>
            <w:r>
              <w:rPr>
                <w:rFonts w:hint="eastAsia" w:ascii="宋体" w:hAnsi="宋体" w:cs="宋体"/>
              </w:rPr>
              <w:t>投标总报价不得高于比选人公布的最高限价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860" w:type="dxa"/>
            <w:vMerge w:val="continue"/>
            <w:vAlign w:val="center"/>
          </w:tcPr>
          <w:p>
            <w:pPr>
              <w:spacing w:line="360" w:lineRule="auto"/>
              <w:jc w:val="center"/>
              <w:rPr>
                <w:rFonts w:ascii="宋体" w:hAnsi="宋体" w:cs="宋体"/>
              </w:rPr>
            </w:pPr>
          </w:p>
        </w:tc>
        <w:tc>
          <w:tcPr>
            <w:tcW w:w="1235" w:type="dxa"/>
            <w:vMerge w:val="continue"/>
            <w:textDirection w:val="tbRlV"/>
            <w:vAlign w:val="center"/>
          </w:tcPr>
          <w:p>
            <w:pPr>
              <w:snapToGrid w:val="0"/>
              <w:spacing w:line="360" w:lineRule="auto"/>
              <w:ind w:left="113" w:right="113"/>
              <w:jc w:val="center"/>
              <w:rPr>
                <w:rFonts w:ascii="宋体" w:hAnsi="宋体" w:cs="宋体"/>
              </w:rPr>
            </w:pPr>
          </w:p>
        </w:tc>
        <w:tc>
          <w:tcPr>
            <w:tcW w:w="2724" w:type="dxa"/>
            <w:gridSpan w:val="2"/>
            <w:vAlign w:val="center"/>
          </w:tcPr>
          <w:p>
            <w:pPr>
              <w:adjustRightInd w:val="0"/>
              <w:snapToGrid w:val="0"/>
              <w:spacing w:line="360" w:lineRule="exact"/>
              <w:jc w:val="center"/>
              <w:rPr>
                <w:rFonts w:ascii="宋体" w:hAnsi="宋体" w:cs="宋体"/>
              </w:rPr>
            </w:pPr>
            <w:r>
              <w:rPr>
                <w:rFonts w:hint="eastAsia" w:ascii="宋体" w:hAnsi="宋体" w:cs="宋体"/>
              </w:rPr>
              <w:t>投标内容</w:t>
            </w:r>
          </w:p>
        </w:tc>
        <w:tc>
          <w:tcPr>
            <w:tcW w:w="4897" w:type="dxa"/>
            <w:vAlign w:val="center"/>
          </w:tcPr>
          <w:p>
            <w:pPr>
              <w:adjustRightInd w:val="0"/>
              <w:snapToGrid w:val="0"/>
              <w:spacing w:line="400" w:lineRule="exact"/>
              <w:ind w:firstLine="210" w:firstLineChars="100"/>
              <w:rPr>
                <w:rFonts w:ascii="宋体" w:hAnsi="宋体" w:cs="宋体"/>
              </w:rPr>
            </w:pPr>
            <w:r>
              <w:rPr>
                <w:rFonts w:hint="eastAsia" w:ascii="宋体" w:hAnsi="宋体" w:cs="宋体"/>
              </w:rPr>
              <w:t>符合第二章“投标人须知”第1.3.1项规定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exact"/>
          <w:jc w:val="center"/>
        </w:trPr>
        <w:tc>
          <w:tcPr>
            <w:tcW w:w="860" w:type="dxa"/>
            <w:vMerge w:val="continue"/>
          </w:tcPr>
          <w:p>
            <w:pPr>
              <w:snapToGrid w:val="0"/>
              <w:spacing w:line="360" w:lineRule="auto"/>
              <w:jc w:val="center"/>
              <w:rPr>
                <w:rFonts w:ascii="宋体" w:hAnsi="宋体"/>
              </w:rPr>
            </w:pPr>
          </w:p>
        </w:tc>
        <w:tc>
          <w:tcPr>
            <w:tcW w:w="1235" w:type="dxa"/>
            <w:vMerge w:val="continue"/>
            <w:vAlign w:val="center"/>
          </w:tcPr>
          <w:p>
            <w:pPr>
              <w:snapToGrid w:val="0"/>
              <w:spacing w:line="360" w:lineRule="auto"/>
              <w:ind w:left="113" w:right="113"/>
              <w:jc w:val="center"/>
              <w:rPr>
                <w:rFonts w:ascii="宋体" w:hAnsi="宋体"/>
              </w:rPr>
            </w:pPr>
          </w:p>
        </w:tc>
        <w:tc>
          <w:tcPr>
            <w:tcW w:w="2724" w:type="dxa"/>
            <w:gridSpan w:val="2"/>
            <w:vAlign w:val="center"/>
          </w:tcPr>
          <w:p>
            <w:pPr>
              <w:adjustRightInd w:val="0"/>
              <w:snapToGrid w:val="0"/>
              <w:spacing w:line="360" w:lineRule="exact"/>
              <w:jc w:val="center"/>
              <w:rPr>
                <w:rFonts w:ascii="宋体" w:hAnsi="宋体" w:cs="宋体"/>
              </w:rPr>
            </w:pPr>
            <w:r>
              <w:rPr>
                <w:rFonts w:hint="eastAsia" w:ascii="宋体" w:hAnsi="宋体" w:cs="宋体"/>
              </w:rPr>
              <w:t>工期</w:t>
            </w:r>
          </w:p>
        </w:tc>
        <w:tc>
          <w:tcPr>
            <w:tcW w:w="4897" w:type="dxa"/>
          </w:tcPr>
          <w:p>
            <w:pPr>
              <w:adjustRightInd w:val="0"/>
              <w:snapToGrid w:val="0"/>
              <w:spacing w:line="360" w:lineRule="exact"/>
              <w:ind w:firstLine="210" w:firstLineChars="100"/>
              <w:rPr>
                <w:rFonts w:ascii="宋体" w:hAnsi="宋体" w:cs="宋体"/>
              </w:rPr>
            </w:pPr>
            <w:r>
              <w:rPr>
                <w:rFonts w:hint="eastAsia" w:ascii="宋体" w:hAnsi="宋体" w:cs="宋体"/>
              </w:rPr>
              <w:t>符合第二章“投标人须知”第1.3.2项规定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exact"/>
          <w:jc w:val="center"/>
        </w:trPr>
        <w:tc>
          <w:tcPr>
            <w:tcW w:w="860" w:type="dxa"/>
            <w:vMerge w:val="continue"/>
          </w:tcPr>
          <w:p>
            <w:pPr>
              <w:snapToGrid w:val="0"/>
              <w:spacing w:line="360" w:lineRule="auto"/>
              <w:jc w:val="center"/>
              <w:rPr>
                <w:rFonts w:ascii="宋体" w:hAnsi="宋体"/>
              </w:rPr>
            </w:pPr>
          </w:p>
        </w:tc>
        <w:tc>
          <w:tcPr>
            <w:tcW w:w="1235" w:type="dxa"/>
            <w:vMerge w:val="continue"/>
            <w:vAlign w:val="center"/>
          </w:tcPr>
          <w:p>
            <w:pPr>
              <w:snapToGrid w:val="0"/>
              <w:spacing w:line="360" w:lineRule="auto"/>
              <w:ind w:left="113" w:right="113"/>
              <w:jc w:val="center"/>
              <w:rPr>
                <w:rFonts w:ascii="宋体" w:hAnsi="宋体"/>
              </w:rPr>
            </w:pPr>
          </w:p>
        </w:tc>
        <w:tc>
          <w:tcPr>
            <w:tcW w:w="2724" w:type="dxa"/>
            <w:gridSpan w:val="2"/>
            <w:vAlign w:val="center"/>
          </w:tcPr>
          <w:p>
            <w:pPr>
              <w:adjustRightInd w:val="0"/>
              <w:snapToGrid w:val="0"/>
              <w:spacing w:line="300" w:lineRule="exact"/>
              <w:jc w:val="center"/>
              <w:rPr>
                <w:rFonts w:ascii="宋体" w:hAnsi="宋体" w:cs="宋体"/>
              </w:rPr>
            </w:pPr>
            <w:r>
              <w:rPr>
                <w:rFonts w:hint="eastAsia" w:ascii="宋体" w:hAnsi="宋体" w:cs="宋体"/>
              </w:rPr>
              <w:t>工程质量</w:t>
            </w:r>
          </w:p>
        </w:tc>
        <w:tc>
          <w:tcPr>
            <w:tcW w:w="4897" w:type="dxa"/>
            <w:vAlign w:val="center"/>
          </w:tcPr>
          <w:p>
            <w:pPr>
              <w:adjustRightInd w:val="0"/>
              <w:snapToGrid w:val="0"/>
              <w:spacing w:line="400" w:lineRule="exact"/>
              <w:ind w:firstLine="210" w:firstLineChars="100"/>
              <w:rPr>
                <w:rFonts w:ascii="宋体" w:hAnsi="宋体" w:cs="宋体"/>
              </w:rPr>
            </w:pPr>
            <w:r>
              <w:rPr>
                <w:rFonts w:hint="eastAsia" w:ascii="宋体" w:hAnsi="宋体" w:cs="宋体"/>
              </w:rPr>
              <w:t>符合第二章“投标人须知”第1.3.3项规定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860" w:type="dxa"/>
            <w:vMerge w:val="continue"/>
          </w:tcPr>
          <w:p>
            <w:pPr>
              <w:snapToGrid w:val="0"/>
              <w:spacing w:line="360" w:lineRule="auto"/>
              <w:jc w:val="center"/>
              <w:rPr>
                <w:rFonts w:ascii="宋体" w:hAnsi="宋体"/>
              </w:rPr>
            </w:pPr>
          </w:p>
        </w:tc>
        <w:tc>
          <w:tcPr>
            <w:tcW w:w="1235" w:type="dxa"/>
            <w:vMerge w:val="continue"/>
            <w:vAlign w:val="center"/>
          </w:tcPr>
          <w:p>
            <w:pPr>
              <w:snapToGrid w:val="0"/>
              <w:spacing w:line="360" w:lineRule="auto"/>
              <w:ind w:left="113" w:right="113"/>
              <w:jc w:val="center"/>
              <w:rPr>
                <w:rFonts w:ascii="宋体" w:hAnsi="宋体"/>
              </w:rPr>
            </w:pPr>
          </w:p>
        </w:tc>
        <w:tc>
          <w:tcPr>
            <w:tcW w:w="2724" w:type="dxa"/>
            <w:gridSpan w:val="2"/>
            <w:vAlign w:val="center"/>
          </w:tcPr>
          <w:p>
            <w:pPr>
              <w:adjustRightInd w:val="0"/>
              <w:snapToGrid w:val="0"/>
              <w:spacing w:line="360" w:lineRule="exact"/>
              <w:jc w:val="center"/>
              <w:rPr>
                <w:rFonts w:ascii="宋体" w:hAnsi="宋体" w:cs="宋体"/>
              </w:rPr>
            </w:pPr>
            <w:r>
              <w:rPr>
                <w:rFonts w:hint="eastAsia" w:ascii="宋体" w:hAnsi="宋体" w:cs="宋体"/>
              </w:rPr>
              <w:t>投标有效期</w:t>
            </w:r>
          </w:p>
        </w:tc>
        <w:tc>
          <w:tcPr>
            <w:tcW w:w="4897" w:type="dxa"/>
            <w:vAlign w:val="center"/>
          </w:tcPr>
          <w:p>
            <w:pPr>
              <w:adjustRightInd w:val="0"/>
              <w:snapToGrid w:val="0"/>
              <w:spacing w:line="360" w:lineRule="exact"/>
              <w:ind w:firstLine="210" w:firstLineChars="100"/>
              <w:jc w:val="left"/>
              <w:rPr>
                <w:rFonts w:ascii="宋体" w:hAnsi="宋体" w:cs="宋体"/>
              </w:rPr>
            </w:pPr>
            <w:r>
              <w:rPr>
                <w:rFonts w:hint="eastAsia" w:ascii="宋体" w:hAnsi="宋体" w:cs="宋体"/>
              </w:rPr>
              <w:t>符合第二章“投标人须知”第3.3.1项规定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860" w:type="dxa"/>
            <w:vMerge w:val="continue"/>
          </w:tcPr>
          <w:p>
            <w:pPr>
              <w:snapToGrid w:val="0"/>
              <w:spacing w:line="360" w:lineRule="auto"/>
              <w:jc w:val="center"/>
              <w:rPr>
                <w:rFonts w:ascii="宋体" w:hAnsi="宋体"/>
              </w:rPr>
            </w:pPr>
          </w:p>
        </w:tc>
        <w:tc>
          <w:tcPr>
            <w:tcW w:w="1235" w:type="dxa"/>
            <w:vMerge w:val="continue"/>
            <w:vAlign w:val="center"/>
          </w:tcPr>
          <w:p>
            <w:pPr>
              <w:snapToGrid w:val="0"/>
              <w:spacing w:line="360" w:lineRule="auto"/>
              <w:ind w:left="113" w:right="113"/>
              <w:jc w:val="center"/>
              <w:rPr>
                <w:rFonts w:ascii="宋体" w:hAnsi="宋体"/>
              </w:rPr>
            </w:pPr>
          </w:p>
        </w:tc>
        <w:tc>
          <w:tcPr>
            <w:tcW w:w="2724" w:type="dxa"/>
            <w:gridSpan w:val="2"/>
            <w:vAlign w:val="center"/>
          </w:tcPr>
          <w:p>
            <w:pPr>
              <w:adjustRightInd w:val="0"/>
              <w:snapToGrid w:val="0"/>
              <w:spacing w:line="360" w:lineRule="exact"/>
              <w:jc w:val="center"/>
              <w:rPr>
                <w:rFonts w:ascii="宋体" w:hAnsi="宋体" w:cs="宋体"/>
              </w:rPr>
            </w:pPr>
            <w:r>
              <w:rPr>
                <w:rFonts w:hint="eastAsia" w:ascii="宋体" w:hAnsi="宋体" w:cs="宋体"/>
              </w:rPr>
              <w:t>投标保证金</w:t>
            </w:r>
          </w:p>
        </w:tc>
        <w:tc>
          <w:tcPr>
            <w:tcW w:w="4897" w:type="dxa"/>
          </w:tcPr>
          <w:p>
            <w:pPr>
              <w:adjustRightInd w:val="0"/>
              <w:snapToGrid w:val="0"/>
              <w:spacing w:line="360" w:lineRule="exact"/>
              <w:jc w:val="left"/>
              <w:rPr>
                <w:rFonts w:ascii="宋体" w:hAnsi="宋体" w:cs="宋体"/>
              </w:rPr>
            </w:pPr>
            <w:r>
              <w:rPr>
                <w:rFonts w:hint="eastAsia" w:ascii="宋体" w:hAnsi="宋体" w:cs="宋体"/>
              </w:rPr>
              <w:t xml:space="preserve">  符合第二章“投标人须知前附表”第3.4.1项规定，并符合下列要求：</w:t>
            </w:r>
          </w:p>
          <w:p>
            <w:pPr>
              <w:adjustRightInd w:val="0"/>
              <w:snapToGrid w:val="0"/>
              <w:spacing w:line="360" w:lineRule="exact"/>
              <w:jc w:val="left"/>
              <w:rPr>
                <w:rFonts w:ascii="宋体" w:hAnsi="宋体" w:cs="宋体"/>
              </w:rPr>
            </w:pPr>
            <w:r>
              <w:rPr>
                <w:rFonts w:hint="eastAsia" w:ascii="宋体" w:hAnsi="宋体" w:cs="宋体"/>
              </w:rPr>
              <w:t xml:space="preserve">  1.投标保证金为无条件担保；</w:t>
            </w:r>
          </w:p>
          <w:p>
            <w:pPr>
              <w:adjustRightInd w:val="0"/>
              <w:snapToGrid w:val="0"/>
              <w:spacing w:line="360" w:lineRule="exact"/>
              <w:jc w:val="left"/>
              <w:rPr>
                <w:rFonts w:ascii="宋体" w:hAnsi="宋体" w:cs="宋体"/>
              </w:rPr>
            </w:pPr>
            <w:r>
              <w:rPr>
                <w:rFonts w:hint="eastAsia" w:ascii="宋体" w:hAnsi="宋体" w:cs="宋体"/>
              </w:rPr>
              <w:t xml:space="preserve">  2.投标保证金的受益人名称与招标人规定的受益人一致；</w:t>
            </w:r>
          </w:p>
          <w:p>
            <w:pPr>
              <w:adjustRightInd w:val="0"/>
              <w:snapToGrid w:val="0"/>
              <w:spacing w:line="360" w:lineRule="exact"/>
              <w:jc w:val="left"/>
              <w:rPr>
                <w:rFonts w:ascii="宋体" w:hAnsi="宋体" w:cs="宋体"/>
              </w:rPr>
            </w:pPr>
            <w:r>
              <w:rPr>
                <w:rFonts w:hint="eastAsia" w:ascii="宋体" w:hAnsi="宋体" w:cs="宋体"/>
              </w:rPr>
              <w:t xml:space="preserve">  3.投标保证金的金额符合比选文件规定的金额；</w:t>
            </w:r>
          </w:p>
          <w:p>
            <w:pPr>
              <w:adjustRightInd w:val="0"/>
              <w:snapToGrid w:val="0"/>
              <w:spacing w:line="360" w:lineRule="exact"/>
              <w:jc w:val="left"/>
              <w:rPr>
                <w:rFonts w:ascii="宋体" w:hAnsi="宋体" w:cs="宋体"/>
              </w:rPr>
            </w:pPr>
            <w:r>
              <w:rPr>
                <w:rFonts w:hint="eastAsia" w:ascii="宋体" w:hAnsi="宋体" w:cs="宋体"/>
              </w:rPr>
              <w:t xml:space="preserve">  4.投标保证金有效期与投标有效期一致；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60" w:type="dxa"/>
            <w:vMerge w:val="continue"/>
            <w:vAlign w:val="center"/>
          </w:tcPr>
          <w:p>
            <w:pPr>
              <w:snapToGrid w:val="0"/>
              <w:spacing w:line="360" w:lineRule="auto"/>
              <w:jc w:val="center"/>
              <w:rPr>
                <w:rFonts w:ascii="宋体" w:hAnsi="宋体" w:cs="宋体"/>
              </w:rPr>
            </w:pPr>
          </w:p>
        </w:tc>
        <w:tc>
          <w:tcPr>
            <w:tcW w:w="1235" w:type="dxa"/>
            <w:vMerge w:val="continue"/>
            <w:textDirection w:val="tbRlV"/>
            <w:vAlign w:val="center"/>
          </w:tcPr>
          <w:p>
            <w:pPr>
              <w:snapToGrid w:val="0"/>
              <w:spacing w:line="360" w:lineRule="auto"/>
              <w:ind w:left="113" w:right="113"/>
              <w:jc w:val="center"/>
              <w:rPr>
                <w:rFonts w:ascii="宋体" w:hAnsi="宋体" w:cs="宋体"/>
              </w:rPr>
            </w:pPr>
          </w:p>
        </w:tc>
        <w:tc>
          <w:tcPr>
            <w:tcW w:w="2724" w:type="dxa"/>
            <w:gridSpan w:val="2"/>
            <w:vAlign w:val="center"/>
          </w:tcPr>
          <w:p>
            <w:pPr>
              <w:adjustRightInd w:val="0"/>
              <w:snapToGrid w:val="0"/>
              <w:spacing w:line="360" w:lineRule="exact"/>
              <w:jc w:val="center"/>
              <w:rPr>
                <w:rFonts w:ascii="宋体" w:hAnsi="宋体" w:cs="宋体"/>
              </w:rPr>
            </w:pPr>
            <w:r>
              <w:rPr>
                <w:rFonts w:hint="eastAsia" w:ascii="宋体" w:hAnsi="宋体" w:cs="宋体"/>
              </w:rPr>
              <w:t>权利义务</w:t>
            </w:r>
          </w:p>
        </w:tc>
        <w:tc>
          <w:tcPr>
            <w:tcW w:w="4897" w:type="dxa"/>
            <w:vAlign w:val="center"/>
          </w:tcPr>
          <w:p>
            <w:pPr>
              <w:adjustRightInd w:val="0"/>
              <w:snapToGrid w:val="0"/>
              <w:spacing w:line="360" w:lineRule="exact"/>
              <w:ind w:firstLine="210" w:firstLineChars="100"/>
              <w:jc w:val="left"/>
              <w:rPr>
                <w:rFonts w:ascii="宋体" w:hAnsi="宋体" w:cs="宋体"/>
              </w:rPr>
            </w:pPr>
            <w:r>
              <w:rPr>
                <w:rFonts w:hint="eastAsia" w:ascii="宋体" w:hAnsi="宋体" w:cs="宋体"/>
              </w:rPr>
              <w:t>符合第四章“合同条款及格式”规定，投标文件不应附有招标人不能接受的条件。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860" w:type="dxa"/>
            <w:vMerge w:val="continue"/>
            <w:vAlign w:val="center"/>
          </w:tcPr>
          <w:p>
            <w:pPr>
              <w:snapToGrid w:val="0"/>
              <w:spacing w:line="360" w:lineRule="auto"/>
              <w:jc w:val="center"/>
              <w:rPr>
                <w:rFonts w:ascii="宋体" w:hAnsi="宋体" w:cs="宋体"/>
              </w:rPr>
            </w:pPr>
          </w:p>
        </w:tc>
        <w:tc>
          <w:tcPr>
            <w:tcW w:w="1235" w:type="dxa"/>
            <w:vMerge w:val="continue"/>
            <w:textDirection w:val="tbRlV"/>
            <w:vAlign w:val="center"/>
          </w:tcPr>
          <w:p>
            <w:pPr>
              <w:snapToGrid w:val="0"/>
              <w:spacing w:line="360" w:lineRule="auto"/>
              <w:ind w:left="113" w:right="113"/>
              <w:jc w:val="center"/>
              <w:rPr>
                <w:rFonts w:ascii="宋体" w:hAnsi="宋体" w:cs="宋体"/>
              </w:rPr>
            </w:pPr>
          </w:p>
        </w:tc>
        <w:tc>
          <w:tcPr>
            <w:tcW w:w="2724" w:type="dxa"/>
            <w:gridSpan w:val="2"/>
            <w:vAlign w:val="center"/>
          </w:tcPr>
          <w:p>
            <w:pPr>
              <w:adjustRightInd w:val="0"/>
              <w:snapToGrid w:val="0"/>
              <w:spacing w:line="360" w:lineRule="exact"/>
              <w:jc w:val="center"/>
              <w:rPr>
                <w:rFonts w:ascii="宋体" w:hAnsi="宋体" w:cs="宋体"/>
              </w:rPr>
            </w:pPr>
            <w:r>
              <w:rPr>
                <w:rFonts w:hint="eastAsia" w:ascii="宋体" w:hAnsi="宋体" w:cs="宋体"/>
              </w:rPr>
              <w:t>已标价</w:t>
            </w:r>
          </w:p>
          <w:p>
            <w:pPr>
              <w:adjustRightInd w:val="0"/>
              <w:snapToGrid w:val="0"/>
              <w:spacing w:line="360" w:lineRule="exact"/>
              <w:jc w:val="center"/>
              <w:rPr>
                <w:rFonts w:ascii="宋体" w:hAnsi="宋体" w:cs="宋体"/>
              </w:rPr>
            </w:pPr>
            <w:r>
              <w:rPr>
                <w:rFonts w:hint="eastAsia" w:ascii="宋体" w:hAnsi="宋体" w:cs="宋体"/>
              </w:rPr>
              <w:t>工程量清单</w:t>
            </w:r>
          </w:p>
        </w:tc>
        <w:tc>
          <w:tcPr>
            <w:tcW w:w="4897" w:type="dxa"/>
            <w:vAlign w:val="center"/>
          </w:tcPr>
          <w:p>
            <w:pPr>
              <w:adjustRightInd w:val="0"/>
              <w:snapToGrid w:val="0"/>
              <w:spacing w:line="360" w:lineRule="exact"/>
              <w:ind w:firstLine="210" w:firstLineChars="100"/>
              <w:jc w:val="left"/>
              <w:rPr>
                <w:rFonts w:ascii="宋体" w:hAnsi="宋体" w:cs="宋体"/>
              </w:rPr>
            </w:pPr>
            <w:r>
              <w:rPr>
                <w:rFonts w:hint="eastAsia" w:ascii="宋体" w:hAnsi="宋体" w:cs="宋体"/>
              </w:rPr>
              <w:t>符合第五章“工程量清单”给出的范围及数量，且投标报价不得高于招标人公布的最高限价。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860" w:type="dxa"/>
            <w:vMerge w:val="continue"/>
          </w:tcPr>
          <w:p>
            <w:pPr>
              <w:snapToGrid w:val="0"/>
              <w:spacing w:line="360" w:lineRule="auto"/>
              <w:rPr>
                <w:rFonts w:ascii="宋体" w:hAnsi="宋体"/>
              </w:rPr>
            </w:pPr>
          </w:p>
        </w:tc>
        <w:tc>
          <w:tcPr>
            <w:tcW w:w="1235" w:type="dxa"/>
            <w:vMerge w:val="continue"/>
            <w:vAlign w:val="center"/>
          </w:tcPr>
          <w:p>
            <w:pPr>
              <w:snapToGrid w:val="0"/>
              <w:spacing w:line="360" w:lineRule="auto"/>
              <w:jc w:val="center"/>
              <w:rPr>
                <w:rFonts w:ascii="宋体" w:hAnsi="宋体"/>
              </w:rPr>
            </w:pPr>
          </w:p>
        </w:tc>
        <w:tc>
          <w:tcPr>
            <w:tcW w:w="2724" w:type="dxa"/>
            <w:gridSpan w:val="2"/>
            <w:vAlign w:val="center"/>
          </w:tcPr>
          <w:p>
            <w:pPr>
              <w:adjustRightInd w:val="0"/>
              <w:snapToGrid w:val="0"/>
              <w:spacing w:line="360" w:lineRule="exact"/>
              <w:jc w:val="center"/>
              <w:rPr>
                <w:rFonts w:ascii="宋体" w:hAnsi="宋体" w:cs="宋体"/>
              </w:rPr>
            </w:pPr>
            <w:r>
              <w:rPr>
                <w:rFonts w:hint="eastAsia" w:ascii="宋体" w:hAnsi="宋体" w:cs="宋体"/>
              </w:rPr>
              <w:t>实质性要求</w:t>
            </w:r>
          </w:p>
        </w:tc>
        <w:tc>
          <w:tcPr>
            <w:tcW w:w="4897" w:type="dxa"/>
            <w:vAlign w:val="center"/>
          </w:tcPr>
          <w:p>
            <w:pPr>
              <w:adjustRightInd w:val="0"/>
              <w:snapToGrid w:val="0"/>
              <w:spacing w:line="360" w:lineRule="exact"/>
              <w:ind w:firstLine="210" w:firstLineChars="100"/>
              <w:jc w:val="left"/>
              <w:rPr>
                <w:rFonts w:ascii="宋体" w:hAnsi="宋体" w:cs="宋体"/>
              </w:rPr>
            </w:pPr>
            <w:r>
              <w:rPr>
                <w:rFonts w:hint="eastAsia" w:ascii="宋体" w:hAnsi="宋体" w:cs="宋体"/>
              </w:rPr>
              <w:t>符合比选文件中规定的其他实质性要求。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860" w:type="dxa"/>
          </w:tcPr>
          <w:p>
            <w:pPr>
              <w:snapToGrid w:val="0"/>
              <w:spacing w:before="120" w:beforeLines="50" w:line="360" w:lineRule="auto"/>
              <w:jc w:val="center"/>
              <w:rPr>
                <w:rFonts w:ascii="宋体" w:hAnsi="宋体"/>
                <w:b/>
                <w:bCs/>
              </w:rPr>
            </w:pPr>
          </w:p>
          <w:p>
            <w:pPr>
              <w:snapToGrid w:val="0"/>
              <w:spacing w:before="120" w:beforeLines="50" w:line="360" w:lineRule="auto"/>
              <w:jc w:val="center"/>
              <w:rPr>
                <w:rFonts w:ascii="宋体" w:hAnsi="宋体"/>
                <w:b/>
                <w:bCs/>
              </w:rPr>
            </w:pPr>
          </w:p>
          <w:p>
            <w:pPr>
              <w:snapToGrid w:val="0"/>
              <w:spacing w:before="120" w:beforeLines="50" w:line="360" w:lineRule="auto"/>
              <w:jc w:val="center"/>
              <w:rPr>
                <w:rFonts w:ascii="宋体" w:hAnsi="宋体"/>
                <w:b/>
                <w:bCs/>
              </w:rPr>
            </w:pPr>
          </w:p>
          <w:p>
            <w:pPr>
              <w:snapToGrid w:val="0"/>
              <w:spacing w:before="120" w:beforeLines="50" w:line="360" w:lineRule="auto"/>
              <w:jc w:val="center"/>
              <w:rPr>
                <w:rFonts w:ascii="宋体" w:hAnsi="宋体"/>
                <w:b/>
                <w:bCs/>
              </w:rPr>
            </w:pPr>
          </w:p>
          <w:p>
            <w:pPr>
              <w:snapToGrid w:val="0"/>
              <w:spacing w:before="120" w:beforeLines="50" w:line="360" w:lineRule="auto"/>
              <w:jc w:val="center"/>
              <w:rPr>
                <w:rFonts w:ascii="宋体" w:hAnsi="宋体"/>
                <w:b/>
                <w:bCs/>
              </w:rPr>
            </w:pPr>
            <w:r>
              <w:rPr>
                <w:rFonts w:hint="eastAsia" w:ascii="宋体" w:hAnsi="宋体"/>
              </w:rPr>
              <w:t>3</w:t>
            </w:r>
          </w:p>
        </w:tc>
        <w:tc>
          <w:tcPr>
            <w:tcW w:w="1235" w:type="dxa"/>
          </w:tcPr>
          <w:p>
            <w:pPr>
              <w:snapToGrid w:val="0"/>
              <w:spacing w:before="120" w:beforeLines="50" w:line="360" w:lineRule="auto"/>
              <w:jc w:val="center"/>
              <w:rPr>
                <w:rFonts w:ascii="宋体" w:hAnsi="宋体"/>
                <w:b/>
                <w:bCs/>
              </w:rPr>
            </w:pPr>
          </w:p>
          <w:p/>
          <w:p>
            <w:pPr>
              <w:snapToGrid w:val="0"/>
              <w:spacing w:line="360" w:lineRule="auto"/>
              <w:ind w:left="113" w:right="113"/>
              <w:jc w:val="center"/>
              <w:rPr>
                <w:rFonts w:ascii="宋体" w:hAnsi="宋体" w:cs="宋体"/>
                <w:kern w:val="0"/>
                <w:szCs w:val="21"/>
              </w:rPr>
            </w:pPr>
          </w:p>
          <w:p>
            <w:pPr>
              <w:snapToGrid w:val="0"/>
              <w:spacing w:line="360" w:lineRule="auto"/>
              <w:ind w:left="113" w:right="113"/>
              <w:jc w:val="center"/>
              <w:rPr>
                <w:rFonts w:ascii="宋体" w:hAnsi="宋体" w:cs="宋体"/>
                <w:kern w:val="0"/>
                <w:szCs w:val="21"/>
              </w:rPr>
            </w:pPr>
            <w:r>
              <w:rPr>
                <w:rFonts w:hint="eastAsia" w:ascii="宋体" w:hAnsi="宋体" w:cs="宋体"/>
                <w:kern w:val="0"/>
                <w:szCs w:val="21"/>
              </w:rPr>
              <w:t>评</w:t>
            </w:r>
          </w:p>
          <w:p>
            <w:pPr>
              <w:snapToGrid w:val="0"/>
              <w:spacing w:line="360" w:lineRule="auto"/>
              <w:ind w:left="113" w:right="113"/>
              <w:jc w:val="center"/>
              <w:rPr>
                <w:rFonts w:ascii="宋体" w:hAnsi="宋体" w:cs="宋体"/>
                <w:kern w:val="0"/>
                <w:szCs w:val="21"/>
              </w:rPr>
            </w:pPr>
            <w:r>
              <w:rPr>
                <w:rFonts w:hint="eastAsia" w:ascii="宋体" w:hAnsi="宋体" w:cs="宋体"/>
                <w:kern w:val="0"/>
                <w:szCs w:val="21"/>
              </w:rPr>
              <w:t xml:space="preserve">标   </w:t>
            </w:r>
          </w:p>
          <w:p>
            <w:pPr>
              <w:snapToGrid w:val="0"/>
              <w:spacing w:line="360" w:lineRule="auto"/>
              <w:ind w:left="113" w:right="113"/>
              <w:jc w:val="center"/>
              <w:rPr>
                <w:rFonts w:ascii="宋体" w:hAnsi="宋体" w:cs="宋体"/>
                <w:kern w:val="0"/>
                <w:szCs w:val="21"/>
              </w:rPr>
            </w:pPr>
            <w:r>
              <w:rPr>
                <w:rFonts w:hint="eastAsia" w:ascii="宋体" w:hAnsi="宋体" w:cs="宋体"/>
                <w:kern w:val="0"/>
                <w:szCs w:val="21"/>
              </w:rPr>
              <w:t>程</w:t>
            </w:r>
          </w:p>
          <w:p>
            <w:pPr>
              <w:snapToGrid w:val="0"/>
              <w:spacing w:line="360" w:lineRule="auto"/>
              <w:ind w:left="113" w:right="113"/>
              <w:jc w:val="center"/>
            </w:pPr>
            <w:r>
              <w:rPr>
                <w:rFonts w:hint="eastAsia" w:ascii="宋体" w:hAnsi="宋体" w:cs="宋体"/>
                <w:kern w:val="0"/>
                <w:szCs w:val="21"/>
              </w:rPr>
              <w:t>序</w:t>
            </w:r>
          </w:p>
        </w:tc>
        <w:tc>
          <w:tcPr>
            <w:tcW w:w="7621" w:type="dxa"/>
            <w:gridSpan w:val="3"/>
            <w:vAlign w:val="center"/>
          </w:tcPr>
          <w:p>
            <w:pPr>
              <w:adjustRightInd w:val="0"/>
              <w:snapToGrid w:val="0"/>
              <w:spacing w:line="400" w:lineRule="exact"/>
              <w:ind w:firstLine="210" w:firstLineChars="100"/>
              <w:rPr>
                <w:rFonts w:ascii="宋体" w:hAnsi="宋体"/>
                <w:color w:val="000000"/>
              </w:rPr>
            </w:pPr>
            <w:r>
              <w:rPr>
                <w:rFonts w:hint="eastAsia" w:ascii="宋体" w:hAnsi="宋体"/>
                <w:color w:val="000000"/>
              </w:rPr>
              <w:t>1.初步评审前，按本章第3.1.3项的规定进行算术性错误修正，将所有投标人（比选人设有最高限价的，则投标总报价和分部分项工程量清单报价高于最高限价的除外）的投标总报价由低到高排序，取前七名进行评审。</w:t>
            </w:r>
          </w:p>
          <w:p>
            <w:pPr>
              <w:adjustRightInd w:val="0"/>
              <w:snapToGrid w:val="0"/>
              <w:spacing w:line="400" w:lineRule="exact"/>
              <w:ind w:firstLine="210" w:firstLineChars="100"/>
              <w:rPr>
                <w:rFonts w:ascii="宋体" w:hAnsi="宋体"/>
                <w:color w:val="000000"/>
              </w:rPr>
            </w:pPr>
            <w:r>
              <w:rPr>
                <w:rFonts w:hint="eastAsia" w:ascii="宋体" w:hAnsi="宋体"/>
                <w:color w:val="000000"/>
              </w:rPr>
              <w:t>2.对排在前七名的投标人的投标文件，按本章评标办法第3.1款至3.4款规定的程序进行评审，确认排名前三名的投标人为中标候选人。排在第七名之后的所有投标文件将不再评审。</w:t>
            </w:r>
          </w:p>
          <w:p>
            <w:pPr>
              <w:adjustRightInd w:val="0"/>
              <w:snapToGrid w:val="0"/>
              <w:spacing w:line="400" w:lineRule="exact"/>
              <w:ind w:firstLine="210" w:firstLineChars="100"/>
              <w:rPr>
                <w:rFonts w:ascii="宋体" w:hAnsi="宋体"/>
                <w:color w:val="000000"/>
              </w:rPr>
            </w:pPr>
            <w:r>
              <w:rPr>
                <w:rFonts w:hint="eastAsia" w:ascii="宋体" w:hAnsi="宋体"/>
                <w:color w:val="000000"/>
              </w:rPr>
              <w:t>3.如果未能评出三名合格的中标候选人，则应从排名第八的投标人开始依次递补三名投标人并按本章评标办法第3.1款至3.4款规定的程序进行评审，直至评出三家合格的中标候选人为止。</w:t>
            </w:r>
          </w:p>
          <w:p>
            <w:pPr>
              <w:adjustRightInd w:val="0"/>
              <w:snapToGrid w:val="0"/>
              <w:spacing w:line="400" w:lineRule="exact"/>
              <w:ind w:firstLine="210" w:firstLineChars="100"/>
              <w:rPr>
                <w:rFonts w:ascii="宋体" w:hAnsi="宋体"/>
                <w:b/>
                <w:bCs/>
                <w:szCs w:val="21"/>
              </w:rPr>
            </w:pPr>
            <w:r>
              <w:rPr>
                <w:rFonts w:hint="eastAsia" w:ascii="宋体" w:hAnsi="宋体"/>
                <w:color w:val="000000"/>
              </w:rPr>
              <w:t>4.如经过对所有投标人的投标文件进行评审，有效投标不足三个使得投标明显缺乏竞争的，评标委员会可以否决全部投标。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860" w:type="dxa"/>
            <w:vAlign w:val="center"/>
          </w:tcPr>
          <w:p>
            <w:pPr>
              <w:jc w:val="center"/>
              <w:rPr>
                <w:rFonts w:ascii="宋体" w:hAnsi="宋体" w:cs="宋体"/>
              </w:rPr>
            </w:pPr>
            <w:r>
              <w:rPr>
                <w:rFonts w:hint="eastAsia" w:ascii="宋体" w:hAnsi="宋体" w:cs="宋体"/>
              </w:rPr>
              <w:t>3.4</w:t>
            </w:r>
          </w:p>
        </w:tc>
        <w:tc>
          <w:tcPr>
            <w:tcW w:w="1235" w:type="dxa"/>
            <w:vAlign w:val="center"/>
          </w:tcPr>
          <w:p>
            <w:pPr>
              <w:tabs>
                <w:tab w:val="left" w:pos="550"/>
                <w:tab w:val="left" w:pos="1015"/>
              </w:tabs>
              <w:snapToGrid w:val="0"/>
              <w:spacing w:before="120" w:beforeLines="50" w:line="360" w:lineRule="auto"/>
              <w:jc w:val="center"/>
              <w:rPr>
                <w:rFonts w:ascii="宋体" w:hAnsi="宋体" w:cs="宋体"/>
                <w:kern w:val="0"/>
                <w:szCs w:val="21"/>
              </w:rPr>
            </w:pPr>
            <w:r>
              <w:rPr>
                <w:rFonts w:hint="eastAsia" w:ascii="宋体" w:hAnsi="宋体" w:cs="宋体"/>
                <w:kern w:val="0"/>
                <w:szCs w:val="21"/>
              </w:rPr>
              <w:t>评审结果</w:t>
            </w:r>
          </w:p>
        </w:tc>
        <w:tc>
          <w:tcPr>
            <w:tcW w:w="7621" w:type="dxa"/>
            <w:gridSpan w:val="3"/>
            <w:vAlign w:val="center"/>
          </w:tcPr>
          <w:p>
            <w:pPr>
              <w:spacing w:line="400" w:lineRule="exact"/>
              <w:jc w:val="left"/>
              <w:rPr>
                <w:rFonts w:ascii="宋体" w:hAnsi="宋体" w:cs="宋体"/>
                <w:kern w:val="0"/>
                <w:szCs w:val="21"/>
              </w:rPr>
            </w:pPr>
            <w:r>
              <w:rPr>
                <w:rFonts w:hint="eastAsia" w:ascii="宋体" w:hAnsi="宋体" w:cs="宋体"/>
                <w:kern w:val="0"/>
                <w:szCs w:val="21"/>
              </w:rPr>
              <w:t>3.4.1 评标委员会按照经评审的报价按从低到高的顺序推荐前三名为中标候选人。</w:t>
            </w:r>
          </w:p>
          <w:p>
            <w:pPr>
              <w:spacing w:line="400" w:lineRule="exact"/>
              <w:jc w:val="left"/>
              <w:rPr>
                <w:rFonts w:ascii="宋体" w:hAnsi="宋体" w:cs="宋体"/>
                <w:szCs w:val="21"/>
              </w:rPr>
            </w:pPr>
            <w:r>
              <w:rPr>
                <w:rFonts w:hint="eastAsia" w:ascii="宋体" w:hAnsi="宋体" w:cs="宋体"/>
                <w:kern w:val="0"/>
                <w:szCs w:val="21"/>
              </w:rPr>
              <w:t>3.4.2 评标委员会完成评标后，应当向招标人提交书面评标报告。</w:t>
            </w:r>
          </w:p>
        </w:tc>
      </w:tr>
    </w:tbl>
    <w:p>
      <w:bookmarkStart w:id="402" w:name="_Toc5813"/>
    </w:p>
    <w:p/>
    <w:p>
      <w:pPr>
        <w:pStyle w:val="5"/>
        <w:spacing w:before="0" w:after="0" w:line="400" w:lineRule="exact"/>
        <w:rPr>
          <w:rFonts w:ascii="宋体" w:eastAsia="宋体" w:cs="仿宋"/>
          <w:b w:val="0"/>
          <w:snapToGrid w:val="0"/>
          <w:sz w:val="24"/>
          <w:szCs w:val="24"/>
        </w:rPr>
      </w:pPr>
      <w:r>
        <w:rPr>
          <w:rFonts w:ascii="宋体" w:eastAsia="宋体" w:cs="仿宋"/>
          <w:snapToGrid w:val="0"/>
          <w:sz w:val="24"/>
          <w:szCs w:val="24"/>
        </w:rPr>
        <w:t xml:space="preserve">1. </w:t>
      </w:r>
      <w:r>
        <w:rPr>
          <w:rFonts w:hint="eastAsia" w:ascii="宋体" w:eastAsia="宋体" w:cs="仿宋"/>
          <w:snapToGrid w:val="0"/>
          <w:sz w:val="24"/>
          <w:szCs w:val="24"/>
        </w:rPr>
        <w:t>评标方法</w:t>
      </w:r>
      <w:bookmarkEnd w:id="402"/>
    </w:p>
    <w:p>
      <w:pPr>
        <w:spacing w:line="400" w:lineRule="exact"/>
        <w:ind w:firstLine="420" w:firstLineChars="200"/>
        <w:rPr>
          <w:rFonts w:ascii="宋体" w:cs="仿宋"/>
          <w:szCs w:val="21"/>
        </w:rPr>
      </w:pPr>
      <w:r>
        <w:rPr>
          <w:rFonts w:hint="eastAsia" w:ascii="宋体" w:cs="仿宋"/>
          <w:szCs w:val="21"/>
        </w:rPr>
        <w:t>见评标办法前附表。</w:t>
      </w:r>
    </w:p>
    <w:p>
      <w:pPr>
        <w:pStyle w:val="5"/>
        <w:spacing w:before="0" w:after="0" w:line="400" w:lineRule="exact"/>
        <w:rPr>
          <w:rFonts w:ascii="宋体" w:eastAsia="宋体" w:cs="仿宋"/>
          <w:snapToGrid w:val="0"/>
          <w:sz w:val="24"/>
          <w:szCs w:val="24"/>
        </w:rPr>
      </w:pPr>
      <w:bookmarkStart w:id="403" w:name="_Toc224103374"/>
      <w:bookmarkStart w:id="404" w:name="_Toc30892"/>
      <w:bookmarkStart w:id="405" w:name="_Toc283211734"/>
      <w:bookmarkStart w:id="406" w:name="_Toc325910615"/>
      <w:bookmarkStart w:id="407" w:name="_Toc200513188"/>
      <w:r>
        <w:rPr>
          <w:rFonts w:ascii="宋体" w:eastAsia="宋体" w:cs="仿宋"/>
          <w:snapToGrid w:val="0"/>
          <w:sz w:val="24"/>
          <w:szCs w:val="24"/>
        </w:rPr>
        <w:t xml:space="preserve">2. </w:t>
      </w:r>
      <w:r>
        <w:rPr>
          <w:rFonts w:hint="eastAsia" w:ascii="宋体" w:eastAsia="宋体" w:cs="仿宋"/>
          <w:snapToGrid w:val="0"/>
          <w:sz w:val="24"/>
          <w:szCs w:val="24"/>
        </w:rPr>
        <w:t>评审标准</w:t>
      </w:r>
      <w:bookmarkEnd w:id="403"/>
      <w:bookmarkEnd w:id="404"/>
      <w:bookmarkEnd w:id="405"/>
      <w:bookmarkEnd w:id="406"/>
      <w:bookmarkEnd w:id="407"/>
    </w:p>
    <w:p>
      <w:pPr>
        <w:pStyle w:val="6"/>
        <w:snapToGrid w:val="0"/>
        <w:spacing w:before="0" w:after="0" w:line="400" w:lineRule="exact"/>
        <w:rPr>
          <w:rFonts w:ascii="宋体" w:cs="仿宋"/>
          <w:snapToGrid w:val="0"/>
          <w:sz w:val="21"/>
          <w:szCs w:val="21"/>
        </w:rPr>
      </w:pPr>
      <w:bookmarkStart w:id="408" w:name="_Toc283211735"/>
      <w:bookmarkStart w:id="409" w:name="_Toc325910616"/>
      <w:bookmarkStart w:id="410" w:name="_Toc200513189"/>
      <w:bookmarkStart w:id="411" w:name="_Toc224103375"/>
      <w:bookmarkStart w:id="412" w:name="_Toc29203"/>
      <w:r>
        <w:rPr>
          <w:rFonts w:ascii="宋体" w:cs="仿宋"/>
          <w:snapToGrid w:val="0"/>
          <w:sz w:val="21"/>
          <w:szCs w:val="21"/>
        </w:rPr>
        <w:t xml:space="preserve">2.1 </w:t>
      </w:r>
      <w:r>
        <w:rPr>
          <w:rFonts w:hint="eastAsia" w:ascii="宋体" w:cs="仿宋"/>
          <w:snapToGrid w:val="0"/>
          <w:sz w:val="21"/>
          <w:szCs w:val="21"/>
        </w:rPr>
        <w:t>初步评审标准</w:t>
      </w:r>
      <w:bookmarkEnd w:id="408"/>
      <w:bookmarkEnd w:id="409"/>
      <w:bookmarkEnd w:id="410"/>
      <w:bookmarkEnd w:id="411"/>
      <w:bookmarkEnd w:id="412"/>
    </w:p>
    <w:p>
      <w:pPr>
        <w:autoSpaceDE w:val="0"/>
        <w:autoSpaceDN w:val="0"/>
        <w:adjustRightInd w:val="0"/>
        <w:snapToGrid w:val="0"/>
        <w:spacing w:line="400" w:lineRule="exact"/>
        <w:ind w:firstLine="420" w:firstLineChars="200"/>
        <w:jc w:val="left"/>
        <w:rPr>
          <w:rFonts w:ascii="宋体" w:cs="仿宋"/>
          <w:kern w:val="0"/>
          <w:szCs w:val="21"/>
        </w:rPr>
      </w:pPr>
      <w:r>
        <w:rPr>
          <w:rFonts w:ascii="宋体" w:cs="仿宋"/>
          <w:kern w:val="0"/>
          <w:szCs w:val="21"/>
        </w:rPr>
        <w:t xml:space="preserve">2.1.1  </w:t>
      </w:r>
      <w:r>
        <w:rPr>
          <w:rFonts w:hint="eastAsia" w:ascii="宋体" w:cs="仿宋"/>
          <w:kern w:val="0"/>
          <w:szCs w:val="21"/>
        </w:rPr>
        <w:t>形式评审标准：见评标办法前附表。</w:t>
      </w:r>
    </w:p>
    <w:p>
      <w:pPr>
        <w:autoSpaceDE w:val="0"/>
        <w:autoSpaceDN w:val="0"/>
        <w:adjustRightInd w:val="0"/>
        <w:snapToGrid w:val="0"/>
        <w:spacing w:line="400" w:lineRule="exact"/>
        <w:ind w:firstLine="420" w:firstLineChars="200"/>
        <w:jc w:val="left"/>
        <w:rPr>
          <w:rFonts w:ascii="宋体" w:cs="仿宋"/>
          <w:kern w:val="0"/>
          <w:szCs w:val="21"/>
        </w:rPr>
      </w:pPr>
      <w:r>
        <w:rPr>
          <w:rFonts w:ascii="宋体" w:cs="仿宋"/>
          <w:kern w:val="0"/>
          <w:szCs w:val="21"/>
        </w:rPr>
        <w:t xml:space="preserve">2.1.2  </w:t>
      </w:r>
      <w:r>
        <w:rPr>
          <w:rFonts w:hint="eastAsia" w:ascii="宋体" w:cs="仿宋"/>
          <w:kern w:val="0"/>
          <w:szCs w:val="21"/>
        </w:rPr>
        <w:t>资格评审标准：见评标办法前附表。</w:t>
      </w:r>
    </w:p>
    <w:p>
      <w:pPr>
        <w:autoSpaceDE w:val="0"/>
        <w:autoSpaceDN w:val="0"/>
        <w:adjustRightInd w:val="0"/>
        <w:snapToGrid w:val="0"/>
        <w:spacing w:line="400" w:lineRule="exact"/>
        <w:ind w:firstLine="420" w:firstLineChars="200"/>
        <w:jc w:val="left"/>
        <w:rPr>
          <w:rFonts w:ascii="宋体" w:cs="仿宋"/>
          <w:kern w:val="0"/>
          <w:szCs w:val="21"/>
        </w:rPr>
      </w:pPr>
      <w:r>
        <w:rPr>
          <w:rFonts w:ascii="宋体" w:cs="仿宋"/>
          <w:kern w:val="0"/>
          <w:szCs w:val="21"/>
        </w:rPr>
        <w:t xml:space="preserve">2.1.3  </w:t>
      </w:r>
      <w:r>
        <w:rPr>
          <w:rFonts w:hint="eastAsia" w:ascii="宋体" w:cs="仿宋"/>
          <w:kern w:val="0"/>
          <w:szCs w:val="21"/>
        </w:rPr>
        <w:t>响应性评审标准：见评标办法前附表</w:t>
      </w:r>
    </w:p>
    <w:p>
      <w:pPr>
        <w:pStyle w:val="6"/>
        <w:snapToGrid w:val="0"/>
        <w:spacing w:before="0" w:after="0" w:line="400" w:lineRule="exact"/>
        <w:rPr>
          <w:rFonts w:ascii="宋体" w:cs="仿宋"/>
          <w:snapToGrid w:val="0"/>
          <w:sz w:val="21"/>
          <w:szCs w:val="21"/>
        </w:rPr>
      </w:pPr>
      <w:bookmarkStart w:id="413" w:name="_Toc224103376"/>
      <w:bookmarkStart w:id="414" w:name="_Toc325910617"/>
      <w:bookmarkStart w:id="415" w:name="_Toc283211736"/>
      <w:bookmarkStart w:id="416" w:name="_Toc1130"/>
      <w:bookmarkStart w:id="417" w:name="_Toc200513190"/>
      <w:r>
        <w:rPr>
          <w:rFonts w:ascii="宋体" w:cs="仿宋"/>
          <w:snapToGrid w:val="0"/>
          <w:sz w:val="21"/>
          <w:szCs w:val="21"/>
        </w:rPr>
        <w:t xml:space="preserve">2.2 </w:t>
      </w:r>
      <w:r>
        <w:rPr>
          <w:rFonts w:hint="eastAsia" w:ascii="宋体" w:cs="仿宋"/>
          <w:snapToGrid w:val="0"/>
          <w:sz w:val="21"/>
          <w:szCs w:val="21"/>
        </w:rPr>
        <w:t>详细评审标准</w:t>
      </w:r>
      <w:bookmarkEnd w:id="413"/>
      <w:bookmarkEnd w:id="414"/>
      <w:bookmarkEnd w:id="415"/>
      <w:bookmarkEnd w:id="416"/>
      <w:bookmarkEnd w:id="417"/>
    </w:p>
    <w:p>
      <w:pPr>
        <w:spacing w:line="400" w:lineRule="exact"/>
        <w:ind w:firstLine="420" w:firstLineChars="200"/>
        <w:rPr>
          <w:rFonts w:ascii="宋体" w:cs="仿宋"/>
          <w:szCs w:val="21"/>
        </w:rPr>
      </w:pPr>
      <w:r>
        <w:rPr>
          <w:rFonts w:hint="eastAsia" w:ascii="宋体" w:cs="仿宋"/>
          <w:szCs w:val="21"/>
        </w:rPr>
        <w:t>详细评审标准：见评标办法前附表。</w:t>
      </w:r>
    </w:p>
    <w:p>
      <w:pPr>
        <w:pStyle w:val="5"/>
        <w:spacing w:before="0" w:after="0" w:line="400" w:lineRule="exact"/>
        <w:rPr>
          <w:rFonts w:ascii="宋体" w:eastAsia="宋体" w:cs="仿宋"/>
          <w:snapToGrid w:val="0"/>
          <w:sz w:val="24"/>
          <w:szCs w:val="24"/>
        </w:rPr>
      </w:pPr>
      <w:bookmarkStart w:id="418" w:name="_Toc325910618"/>
      <w:bookmarkStart w:id="419" w:name="_Toc224103377"/>
      <w:bookmarkStart w:id="420" w:name="_Toc31859"/>
      <w:bookmarkStart w:id="421" w:name="_Toc200513191"/>
      <w:bookmarkStart w:id="422" w:name="_Toc283211737"/>
      <w:r>
        <w:rPr>
          <w:rFonts w:ascii="宋体" w:eastAsia="宋体" w:cs="仿宋"/>
          <w:snapToGrid w:val="0"/>
          <w:sz w:val="24"/>
          <w:szCs w:val="24"/>
        </w:rPr>
        <w:t xml:space="preserve">3. </w:t>
      </w:r>
      <w:r>
        <w:rPr>
          <w:rFonts w:hint="eastAsia" w:ascii="宋体" w:eastAsia="宋体" w:cs="仿宋"/>
          <w:snapToGrid w:val="0"/>
          <w:sz w:val="24"/>
          <w:szCs w:val="24"/>
        </w:rPr>
        <w:t>评标程序</w:t>
      </w:r>
      <w:bookmarkEnd w:id="418"/>
      <w:bookmarkEnd w:id="419"/>
      <w:bookmarkEnd w:id="420"/>
      <w:bookmarkEnd w:id="421"/>
      <w:bookmarkEnd w:id="422"/>
    </w:p>
    <w:p>
      <w:pPr>
        <w:pStyle w:val="6"/>
        <w:snapToGrid w:val="0"/>
        <w:spacing w:before="0" w:after="0" w:line="400" w:lineRule="exact"/>
        <w:rPr>
          <w:rFonts w:ascii="宋体" w:cs="仿宋"/>
          <w:snapToGrid w:val="0"/>
          <w:sz w:val="21"/>
          <w:szCs w:val="21"/>
        </w:rPr>
      </w:pPr>
      <w:bookmarkStart w:id="423" w:name="_Toc18204"/>
      <w:bookmarkStart w:id="424" w:name="_Toc200513192"/>
      <w:bookmarkStart w:id="425" w:name="_Toc283211738"/>
      <w:bookmarkStart w:id="426" w:name="_Toc224103378"/>
      <w:bookmarkStart w:id="427" w:name="_Toc325910619"/>
      <w:r>
        <w:rPr>
          <w:rFonts w:ascii="宋体" w:cs="仿宋"/>
          <w:snapToGrid w:val="0"/>
          <w:sz w:val="21"/>
          <w:szCs w:val="21"/>
        </w:rPr>
        <w:t xml:space="preserve">3.1 </w:t>
      </w:r>
      <w:r>
        <w:rPr>
          <w:rFonts w:hint="eastAsia" w:ascii="宋体" w:cs="仿宋"/>
          <w:snapToGrid w:val="0"/>
          <w:sz w:val="21"/>
          <w:szCs w:val="21"/>
        </w:rPr>
        <w:t>初步评审</w:t>
      </w:r>
      <w:bookmarkEnd w:id="423"/>
      <w:bookmarkEnd w:id="424"/>
      <w:bookmarkEnd w:id="425"/>
      <w:bookmarkEnd w:id="426"/>
      <w:bookmarkEnd w:id="427"/>
    </w:p>
    <w:p>
      <w:pPr>
        <w:autoSpaceDE w:val="0"/>
        <w:autoSpaceDN w:val="0"/>
        <w:adjustRightInd w:val="0"/>
        <w:snapToGrid w:val="0"/>
        <w:spacing w:line="400" w:lineRule="exact"/>
        <w:ind w:firstLine="420" w:firstLineChars="200"/>
        <w:jc w:val="left"/>
        <w:rPr>
          <w:rFonts w:ascii="宋体" w:cs="仿宋"/>
          <w:kern w:val="0"/>
          <w:szCs w:val="21"/>
        </w:rPr>
      </w:pPr>
      <w:bookmarkStart w:id="428" w:name="_Toc283211739"/>
      <w:bookmarkStart w:id="429" w:name="_Toc325910620"/>
      <w:bookmarkStart w:id="430" w:name="_Toc200513193"/>
      <w:bookmarkStart w:id="431" w:name="_Toc224103379"/>
      <w:r>
        <w:rPr>
          <w:rFonts w:ascii="宋体" w:cs="仿宋"/>
          <w:kern w:val="0"/>
          <w:szCs w:val="21"/>
        </w:rPr>
        <w:t xml:space="preserve">3.1.1 </w:t>
      </w:r>
      <w:r>
        <w:rPr>
          <w:rFonts w:hint="eastAsia" w:hAnsi="宋体"/>
          <w:kern w:val="0"/>
          <w:szCs w:val="21"/>
        </w:rPr>
        <w:t>评标</w:t>
      </w:r>
      <w:r>
        <w:rPr>
          <w:rFonts w:hint="eastAsia" w:hAnsi="宋体"/>
          <w:spacing w:val="-1"/>
          <w:kern w:val="0"/>
          <w:szCs w:val="21"/>
        </w:rPr>
        <w:t>委</w:t>
      </w:r>
      <w:r>
        <w:rPr>
          <w:rFonts w:hint="eastAsia" w:hAnsi="宋体"/>
          <w:kern w:val="0"/>
          <w:szCs w:val="21"/>
        </w:rPr>
        <w:t>员会可以要求投标人提交第二章</w:t>
      </w:r>
      <w:r>
        <w:rPr>
          <w:kern w:val="0"/>
          <w:szCs w:val="21"/>
        </w:rPr>
        <w:t>“</w:t>
      </w:r>
      <w:r>
        <w:rPr>
          <w:rFonts w:hint="eastAsia" w:hAnsi="宋体"/>
          <w:kern w:val="0"/>
          <w:szCs w:val="21"/>
        </w:rPr>
        <w:t>投标人须知</w:t>
      </w:r>
      <w:r>
        <w:rPr>
          <w:kern w:val="0"/>
          <w:szCs w:val="21"/>
        </w:rPr>
        <w:t>”</w:t>
      </w:r>
      <w:r>
        <w:rPr>
          <w:rFonts w:hint="eastAsia" w:hAnsi="宋体"/>
          <w:spacing w:val="-1"/>
          <w:kern w:val="0"/>
          <w:szCs w:val="21"/>
        </w:rPr>
        <w:t>规</w:t>
      </w:r>
      <w:r>
        <w:rPr>
          <w:rFonts w:hint="eastAsia" w:hAnsi="宋体"/>
          <w:kern w:val="0"/>
          <w:szCs w:val="21"/>
        </w:rPr>
        <w:t>定的有关证明和证件的原件</w:t>
      </w:r>
      <w:r>
        <w:rPr>
          <w:rFonts w:hint="eastAsia" w:hAnsi="宋体"/>
          <w:spacing w:val="-20"/>
          <w:kern w:val="0"/>
          <w:szCs w:val="21"/>
        </w:rPr>
        <w:t>，</w:t>
      </w:r>
      <w:r>
        <w:rPr>
          <w:rFonts w:hint="eastAsia" w:hAnsi="宋体"/>
          <w:kern w:val="0"/>
          <w:szCs w:val="21"/>
        </w:rPr>
        <w:t>以便核验</w:t>
      </w:r>
      <w:r>
        <w:rPr>
          <w:rFonts w:hint="eastAsia" w:hAnsi="宋体"/>
          <w:spacing w:val="-20"/>
          <w:kern w:val="0"/>
          <w:szCs w:val="21"/>
        </w:rPr>
        <w:t>。</w:t>
      </w:r>
      <w:r>
        <w:rPr>
          <w:rFonts w:hint="eastAsia" w:hAnsi="宋体"/>
          <w:kern w:val="0"/>
          <w:szCs w:val="21"/>
        </w:rPr>
        <w:t>评标委员会依据本章第</w:t>
      </w:r>
      <w:r>
        <w:rPr>
          <w:spacing w:val="1"/>
          <w:kern w:val="0"/>
          <w:szCs w:val="21"/>
        </w:rPr>
        <w:t>2</w:t>
      </w:r>
      <w:r>
        <w:rPr>
          <w:spacing w:val="-1"/>
          <w:kern w:val="0"/>
          <w:szCs w:val="21"/>
        </w:rPr>
        <w:t>.</w:t>
      </w:r>
      <w:r>
        <w:rPr>
          <w:kern w:val="0"/>
          <w:szCs w:val="21"/>
        </w:rPr>
        <w:t>1</w:t>
      </w:r>
      <w:r>
        <w:rPr>
          <w:rFonts w:hint="eastAsia" w:hAnsi="宋体"/>
          <w:spacing w:val="-1"/>
          <w:kern w:val="0"/>
          <w:szCs w:val="21"/>
        </w:rPr>
        <w:t>款</w:t>
      </w:r>
      <w:r>
        <w:rPr>
          <w:rFonts w:hint="eastAsia" w:hAnsi="宋体"/>
          <w:kern w:val="0"/>
          <w:szCs w:val="21"/>
        </w:rPr>
        <w:t>规定的标准对投标文件进行初步评审。有一项不符合评审标准的，作否决投标处理。</w:t>
      </w:r>
    </w:p>
    <w:p>
      <w:pPr>
        <w:autoSpaceDE w:val="0"/>
        <w:autoSpaceDN w:val="0"/>
        <w:adjustRightInd w:val="0"/>
        <w:snapToGrid w:val="0"/>
        <w:spacing w:line="400" w:lineRule="exact"/>
        <w:ind w:firstLine="420" w:firstLineChars="200"/>
        <w:jc w:val="left"/>
        <w:rPr>
          <w:rFonts w:ascii="宋体" w:cs="仿宋"/>
          <w:kern w:val="0"/>
          <w:szCs w:val="21"/>
        </w:rPr>
      </w:pPr>
      <w:r>
        <w:rPr>
          <w:rFonts w:ascii="宋体" w:cs="仿宋"/>
          <w:kern w:val="0"/>
          <w:szCs w:val="21"/>
        </w:rPr>
        <w:t xml:space="preserve">3.1.2 </w:t>
      </w:r>
      <w:r>
        <w:rPr>
          <w:rFonts w:hint="eastAsia" w:ascii="宋体" w:cs="仿宋"/>
          <w:kern w:val="0"/>
          <w:szCs w:val="21"/>
        </w:rPr>
        <w:t>投标人有以下情形之一的，其投标作否决投标处理：</w:t>
      </w:r>
    </w:p>
    <w:p>
      <w:pPr>
        <w:pStyle w:val="6"/>
        <w:snapToGrid w:val="0"/>
        <w:spacing w:before="0" w:after="0" w:line="400" w:lineRule="exact"/>
        <w:ind w:firstLine="420" w:firstLineChars="200"/>
        <w:rPr>
          <w:rFonts w:ascii="宋体" w:cs="仿宋"/>
          <w:kern w:val="0"/>
          <w:szCs w:val="21"/>
        </w:rPr>
      </w:pPr>
      <w:r>
        <w:rPr>
          <w:rFonts w:hint="eastAsia" w:ascii="宋体" w:cs="仿宋"/>
          <w:b w:val="0"/>
          <w:kern w:val="0"/>
          <w:sz w:val="21"/>
          <w:szCs w:val="21"/>
        </w:rPr>
        <w:t>（1）第二章1.4 投标人资格要求中第 1.4.3 项规定的任何一种情形的；</w:t>
      </w:r>
    </w:p>
    <w:p>
      <w:pPr>
        <w:autoSpaceDE w:val="0"/>
        <w:autoSpaceDN w:val="0"/>
        <w:adjustRightInd w:val="0"/>
        <w:snapToGrid w:val="0"/>
        <w:spacing w:line="400" w:lineRule="exact"/>
        <w:ind w:firstLine="420" w:firstLineChars="200"/>
        <w:jc w:val="left"/>
        <w:rPr>
          <w:rFonts w:ascii="宋体" w:cs="仿宋"/>
          <w:kern w:val="0"/>
          <w:szCs w:val="21"/>
        </w:rPr>
      </w:pPr>
      <w:r>
        <w:rPr>
          <w:rFonts w:hint="eastAsia" w:ascii="宋体" w:cs="仿宋"/>
          <w:kern w:val="0"/>
          <w:szCs w:val="21"/>
        </w:rPr>
        <w:t>（</w:t>
      </w:r>
      <w:r>
        <w:rPr>
          <w:rFonts w:ascii="宋体" w:cs="仿宋"/>
          <w:kern w:val="0"/>
          <w:szCs w:val="21"/>
        </w:rPr>
        <w:t>2</w:t>
      </w:r>
      <w:r>
        <w:rPr>
          <w:rFonts w:hint="eastAsia" w:ascii="宋体" w:cs="仿宋"/>
          <w:kern w:val="0"/>
          <w:szCs w:val="21"/>
        </w:rPr>
        <w:t>）串通投标或弄虚作假或有其他违法行为的；</w:t>
      </w:r>
    </w:p>
    <w:p>
      <w:pPr>
        <w:autoSpaceDE w:val="0"/>
        <w:autoSpaceDN w:val="0"/>
        <w:adjustRightInd w:val="0"/>
        <w:snapToGrid w:val="0"/>
        <w:spacing w:line="400" w:lineRule="exact"/>
        <w:ind w:firstLine="420" w:firstLineChars="200"/>
        <w:jc w:val="left"/>
        <w:rPr>
          <w:rFonts w:ascii="宋体" w:cs="仿宋"/>
          <w:kern w:val="0"/>
          <w:szCs w:val="21"/>
        </w:rPr>
      </w:pPr>
      <w:r>
        <w:rPr>
          <w:rFonts w:hint="eastAsia" w:ascii="宋体" w:cs="仿宋"/>
          <w:kern w:val="0"/>
          <w:szCs w:val="21"/>
        </w:rPr>
        <w:t>（</w:t>
      </w:r>
      <w:r>
        <w:rPr>
          <w:rFonts w:ascii="宋体" w:cs="仿宋"/>
          <w:kern w:val="0"/>
          <w:szCs w:val="21"/>
        </w:rPr>
        <w:t>3</w:t>
      </w:r>
      <w:r>
        <w:rPr>
          <w:rFonts w:hint="eastAsia" w:ascii="宋体" w:cs="仿宋"/>
          <w:kern w:val="0"/>
          <w:szCs w:val="21"/>
        </w:rPr>
        <w:t>）不按评标委员会要求澄清、说明或补正的；</w:t>
      </w:r>
    </w:p>
    <w:p>
      <w:pPr>
        <w:autoSpaceDE w:val="0"/>
        <w:autoSpaceDN w:val="0"/>
        <w:adjustRightInd w:val="0"/>
        <w:snapToGrid w:val="0"/>
        <w:spacing w:line="400" w:lineRule="exact"/>
        <w:ind w:firstLine="420" w:firstLineChars="200"/>
        <w:jc w:val="left"/>
        <w:rPr>
          <w:rFonts w:ascii="宋体" w:cs="仿宋"/>
          <w:kern w:val="0"/>
          <w:szCs w:val="21"/>
        </w:rPr>
      </w:pPr>
      <w:r>
        <w:rPr>
          <w:rFonts w:hint="eastAsia" w:ascii="宋体" w:cs="仿宋"/>
          <w:kern w:val="0"/>
          <w:szCs w:val="21"/>
        </w:rPr>
        <w:t>（</w:t>
      </w:r>
      <w:r>
        <w:rPr>
          <w:rFonts w:ascii="宋体" w:cs="仿宋"/>
          <w:kern w:val="0"/>
          <w:szCs w:val="21"/>
        </w:rPr>
        <w:t>4</w:t>
      </w:r>
      <w:r>
        <w:rPr>
          <w:rFonts w:hint="eastAsia" w:ascii="宋体" w:cs="仿宋"/>
          <w:kern w:val="0"/>
          <w:szCs w:val="21"/>
        </w:rPr>
        <w:t>）本竞争性比选文件约定的其它情形。</w:t>
      </w:r>
    </w:p>
    <w:p>
      <w:pPr>
        <w:autoSpaceDE w:val="0"/>
        <w:autoSpaceDN w:val="0"/>
        <w:adjustRightInd w:val="0"/>
        <w:snapToGrid w:val="0"/>
        <w:spacing w:line="400" w:lineRule="exact"/>
        <w:ind w:firstLine="420" w:firstLineChars="200"/>
        <w:jc w:val="left"/>
        <w:rPr>
          <w:rFonts w:ascii="宋体" w:cs="仿宋"/>
          <w:kern w:val="0"/>
          <w:szCs w:val="21"/>
        </w:rPr>
      </w:pPr>
      <w:r>
        <w:rPr>
          <w:rFonts w:ascii="宋体" w:cs="仿宋"/>
          <w:kern w:val="0"/>
          <w:szCs w:val="21"/>
        </w:rPr>
        <w:t xml:space="preserve">3.1.3 </w:t>
      </w:r>
      <w:r>
        <w:rPr>
          <w:rFonts w:hint="eastAsia" w:ascii="宋体" w:cs="仿宋"/>
          <w:kern w:val="0"/>
          <w:szCs w:val="21"/>
        </w:rPr>
        <w:t>投标报价有算术错误的，评标委员会按以下原则对投标报价进行修正，修正的价格经投标人书面确认后具有约束力。投标人不接受修正价格的，其投标作废标处理。</w:t>
      </w:r>
    </w:p>
    <w:p>
      <w:pPr>
        <w:autoSpaceDE w:val="0"/>
        <w:autoSpaceDN w:val="0"/>
        <w:adjustRightInd w:val="0"/>
        <w:snapToGrid w:val="0"/>
        <w:spacing w:line="400" w:lineRule="exact"/>
        <w:ind w:firstLine="420" w:firstLineChars="200"/>
        <w:jc w:val="left"/>
        <w:rPr>
          <w:rFonts w:ascii="宋体" w:cs="仿宋"/>
          <w:kern w:val="0"/>
          <w:szCs w:val="21"/>
        </w:rPr>
      </w:pPr>
      <w:r>
        <w:rPr>
          <w:rFonts w:ascii="宋体" w:cs="仿宋"/>
          <w:kern w:val="0"/>
          <w:szCs w:val="21"/>
        </w:rPr>
        <w:t>(1</w:t>
      </w:r>
      <w:r>
        <w:rPr>
          <w:rFonts w:hint="eastAsia" w:ascii="宋体" w:cs="仿宋"/>
          <w:kern w:val="0"/>
          <w:szCs w:val="21"/>
        </w:rPr>
        <w:t>）投标文件中的大写金额与小写金额不一致的，以大写金额为准；</w:t>
      </w:r>
    </w:p>
    <w:p>
      <w:pPr>
        <w:autoSpaceDE w:val="0"/>
        <w:autoSpaceDN w:val="0"/>
        <w:adjustRightInd w:val="0"/>
        <w:snapToGrid w:val="0"/>
        <w:spacing w:line="400" w:lineRule="exact"/>
        <w:ind w:firstLine="420" w:firstLineChars="200"/>
        <w:jc w:val="left"/>
        <w:rPr>
          <w:rFonts w:ascii="宋体" w:cs="仿宋"/>
          <w:kern w:val="0"/>
          <w:szCs w:val="21"/>
        </w:rPr>
      </w:pPr>
      <w:r>
        <w:rPr>
          <w:rFonts w:ascii="宋体" w:cs="仿宋"/>
          <w:kern w:val="0"/>
          <w:szCs w:val="21"/>
        </w:rPr>
        <w:t>(2</w:t>
      </w:r>
      <w:r>
        <w:rPr>
          <w:rFonts w:hint="eastAsia" w:ascii="宋体" w:cs="仿宋"/>
          <w:kern w:val="0"/>
          <w:szCs w:val="21"/>
        </w:rPr>
        <w:t>）总价金额与依据单价计算出的结果不一致的，以单价金额为准修正总价，但单价金额小数点有明显错误的除外。</w:t>
      </w:r>
    </w:p>
    <w:p>
      <w:pPr>
        <w:pStyle w:val="6"/>
        <w:snapToGrid w:val="0"/>
        <w:spacing w:before="0" w:after="0" w:line="400" w:lineRule="exact"/>
        <w:rPr>
          <w:rFonts w:ascii="宋体" w:cs="仿宋"/>
          <w:snapToGrid w:val="0"/>
          <w:sz w:val="21"/>
          <w:szCs w:val="21"/>
        </w:rPr>
      </w:pPr>
      <w:bookmarkStart w:id="432" w:name="_Toc20233"/>
      <w:r>
        <w:rPr>
          <w:rFonts w:ascii="宋体" w:cs="仿宋"/>
          <w:snapToGrid w:val="0"/>
          <w:sz w:val="21"/>
          <w:szCs w:val="21"/>
        </w:rPr>
        <w:t xml:space="preserve">3.2  </w:t>
      </w:r>
      <w:r>
        <w:rPr>
          <w:rFonts w:hint="eastAsia" w:ascii="宋体" w:cs="仿宋"/>
          <w:snapToGrid w:val="0"/>
          <w:sz w:val="21"/>
          <w:szCs w:val="21"/>
        </w:rPr>
        <w:t>详细评审</w:t>
      </w:r>
      <w:bookmarkEnd w:id="428"/>
      <w:bookmarkEnd w:id="429"/>
      <w:bookmarkEnd w:id="430"/>
      <w:bookmarkEnd w:id="431"/>
      <w:bookmarkEnd w:id="432"/>
    </w:p>
    <w:p>
      <w:pPr>
        <w:autoSpaceDE w:val="0"/>
        <w:autoSpaceDN w:val="0"/>
        <w:adjustRightInd w:val="0"/>
        <w:snapToGrid w:val="0"/>
        <w:spacing w:line="400" w:lineRule="exact"/>
        <w:ind w:firstLine="420" w:firstLineChars="200"/>
        <w:jc w:val="left"/>
        <w:rPr>
          <w:rFonts w:ascii="宋体" w:cs="仿宋"/>
          <w:kern w:val="0"/>
          <w:szCs w:val="21"/>
        </w:rPr>
      </w:pPr>
      <w:bookmarkStart w:id="433" w:name="_Toc224103380"/>
      <w:bookmarkStart w:id="434" w:name="_Toc200513194"/>
      <w:bookmarkStart w:id="435" w:name="_Toc283211740"/>
      <w:bookmarkStart w:id="436" w:name="_Toc325910621"/>
      <w:r>
        <w:rPr>
          <w:rFonts w:ascii="宋体" w:cs="仿宋"/>
          <w:kern w:val="0"/>
          <w:szCs w:val="21"/>
        </w:rPr>
        <w:t xml:space="preserve">3.2.1 </w:t>
      </w:r>
      <w:r>
        <w:rPr>
          <w:rFonts w:hint="eastAsia" w:ascii="宋体" w:cs="仿宋"/>
          <w:kern w:val="0"/>
          <w:szCs w:val="21"/>
        </w:rPr>
        <w:t>评标委员会按本章第</w:t>
      </w:r>
      <w:r>
        <w:rPr>
          <w:rFonts w:ascii="宋体" w:cs="仿宋"/>
          <w:kern w:val="0"/>
          <w:szCs w:val="21"/>
        </w:rPr>
        <w:t xml:space="preserve">2.2 </w:t>
      </w:r>
      <w:r>
        <w:rPr>
          <w:rFonts w:hint="eastAsia" w:ascii="宋体" w:cs="仿宋"/>
          <w:kern w:val="0"/>
          <w:szCs w:val="21"/>
        </w:rPr>
        <w:t>款规定的量化因素和标准进行评审。</w:t>
      </w:r>
    </w:p>
    <w:p>
      <w:pPr>
        <w:autoSpaceDE w:val="0"/>
        <w:autoSpaceDN w:val="0"/>
        <w:adjustRightInd w:val="0"/>
        <w:snapToGrid w:val="0"/>
        <w:spacing w:line="400" w:lineRule="exact"/>
        <w:ind w:firstLine="420" w:firstLineChars="200"/>
        <w:jc w:val="left"/>
        <w:rPr>
          <w:rFonts w:ascii="宋体" w:cs="仿宋"/>
          <w:kern w:val="0"/>
          <w:szCs w:val="21"/>
        </w:rPr>
      </w:pPr>
      <w:r>
        <w:rPr>
          <w:rFonts w:ascii="宋体" w:cs="仿宋"/>
          <w:kern w:val="0"/>
          <w:szCs w:val="21"/>
        </w:rPr>
        <w:t>3.2.2</w:t>
      </w:r>
      <w:r>
        <w:rPr>
          <w:rFonts w:hint="eastAsia" w:ascii="宋体" w:cs="仿宋"/>
          <w:kern w:val="0"/>
          <w:szCs w:val="21"/>
        </w:rPr>
        <w:t xml:space="preserve"> 评标委员会发现投标人的投标</w:t>
      </w:r>
      <w:r>
        <w:rPr>
          <w:rFonts w:hint="eastAsia" w:ascii="宋体" w:cs="仿宋"/>
          <w:szCs w:val="21"/>
        </w:rPr>
        <w:t>总</w:t>
      </w:r>
      <w:r>
        <w:rPr>
          <w:rFonts w:hint="eastAsia" w:ascii="宋体" w:cs="仿宋"/>
          <w:kern w:val="0"/>
          <w:szCs w:val="21"/>
        </w:rPr>
        <w:t>报价低于低价判定标准的投标</w:t>
      </w:r>
      <w:r>
        <w:rPr>
          <w:rFonts w:hint="eastAsia" w:ascii="宋体" w:cs="仿宋"/>
          <w:szCs w:val="21"/>
        </w:rPr>
        <w:t>总</w:t>
      </w:r>
      <w:r>
        <w:rPr>
          <w:rFonts w:hint="eastAsia" w:ascii="宋体" w:cs="仿宋"/>
          <w:kern w:val="0"/>
          <w:szCs w:val="21"/>
        </w:rPr>
        <w:t>报价时，应判定投标人的投标报价为废标。</w:t>
      </w:r>
    </w:p>
    <w:p>
      <w:pPr>
        <w:pStyle w:val="6"/>
        <w:snapToGrid w:val="0"/>
        <w:spacing w:before="0" w:after="0" w:line="400" w:lineRule="exact"/>
        <w:rPr>
          <w:rFonts w:ascii="宋体" w:cs="仿宋"/>
          <w:snapToGrid w:val="0"/>
          <w:sz w:val="21"/>
          <w:szCs w:val="21"/>
        </w:rPr>
      </w:pPr>
      <w:bookmarkStart w:id="437" w:name="_Toc16118"/>
      <w:r>
        <w:rPr>
          <w:rFonts w:ascii="宋体" w:cs="仿宋"/>
          <w:snapToGrid w:val="0"/>
          <w:sz w:val="21"/>
          <w:szCs w:val="21"/>
        </w:rPr>
        <w:t xml:space="preserve">3.3  </w:t>
      </w:r>
      <w:r>
        <w:rPr>
          <w:rFonts w:hint="eastAsia" w:ascii="宋体" w:cs="仿宋"/>
          <w:snapToGrid w:val="0"/>
          <w:sz w:val="21"/>
          <w:szCs w:val="21"/>
        </w:rPr>
        <w:t>投标文件的澄清和补正</w:t>
      </w:r>
      <w:bookmarkEnd w:id="433"/>
      <w:bookmarkEnd w:id="434"/>
      <w:bookmarkEnd w:id="435"/>
      <w:bookmarkEnd w:id="436"/>
      <w:bookmarkEnd w:id="437"/>
    </w:p>
    <w:p>
      <w:pPr>
        <w:autoSpaceDE w:val="0"/>
        <w:autoSpaceDN w:val="0"/>
        <w:adjustRightInd w:val="0"/>
        <w:snapToGrid w:val="0"/>
        <w:spacing w:line="400" w:lineRule="exact"/>
        <w:ind w:firstLine="420" w:firstLineChars="200"/>
        <w:jc w:val="left"/>
        <w:rPr>
          <w:rFonts w:ascii="宋体" w:cs="仿宋"/>
          <w:kern w:val="0"/>
          <w:szCs w:val="21"/>
        </w:rPr>
      </w:pPr>
      <w:r>
        <w:rPr>
          <w:rFonts w:ascii="宋体" w:cs="仿宋"/>
          <w:kern w:val="0"/>
          <w:szCs w:val="21"/>
        </w:rPr>
        <w:t xml:space="preserve">3.3.1  </w:t>
      </w:r>
      <w:r>
        <w:rPr>
          <w:rFonts w:hint="eastAsia" w:ascii="宋体" w:cs="仿宋"/>
          <w:kern w:val="0"/>
          <w:szCs w:val="21"/>
        </w:rPr>
        <w:t>在评标过程中，评标委员会可以书面形式要求投标人对所提交的投标文件中不明确的内容进行书面澄清或说明，或者对细微偏差进行补正。评标委员会不接受投标人主动提出的澄清、说明或补正。</w:t>
      </w:r>
    </w:p>
    <w:p>
      <w:pPr>
        <w:autoSpaceDE w:val="0"/>
        <w:autoSpaceDN w:val="0"/>
        <w:adjustRightInd w:val="0"/>
        <w:snapToGrid w:val="0"/>
        <w:spacing w:line="400" w:lineRule="exact"/>
        <w:ind w:firstLine="420" w:firstLineChars="200"/>
        <w:jc w:val="left"/>
        <w:rPr>
          <w:rFonts w:ascii="宋体" w:cs="仿宋"/>
          <w:kern w:val="0"/>
          <w:szCs w:val="21"/>
        </w:rPr>
      </w:pPr>
      <w:r>
        <w:rPr>
          <w:rFonts w:ascii="宋体" w:cs="仿宋"/>
          <w:kern w:val="0"/>
          <w:szCs w:val="21"/>
        </w:rPr>
        <w:t xml:space="preserve">3.3.2  </w:t>
      </w:r>
      <w:r>
        <w:rPr>
          <w:rFonts w:hint="eastAsia" w:ascii="宋体" w:cs="仿宋"/>
          <w:kern w:val="0"/>
          <w:szCs w:val="21"/>
        </w:rPr>
        <w:t>澄清、说明和补正不得改变投标文件的实质性内容（算术性错误修正的除外）。投标人的书面澄清、说明和补正属于投标文件的组成部分。</w:t>
      </w:r>
    </w:p>
    <w:p>
      <w:pPr>
        <w:autoSpaceDE w:val="0"/>
        <w:autoSpaceDN w:val="0"/>
        <w:adjustRightInd w:val="0"/>
        <w:snapToGrid w:val="0"/>
        <w:spacing w:line="400" w:lineRule="exact"/>
        <w:ind w:firstLine="420" w:firstLineChars="200"/>
        <w:jc w:val="left"/>
        <w:rPr>
          <w:rFonts w:ascii="宋体" w:cs="仿宋"/>
          <w:kern w:val="0"/>
          <w:szCs w:val="21"/>
        </w:rPr>
      </w:pPr>
      <w:r>
        <w:rPr>
          <w:rFonts w:ascii="宋体" w:cs="仿宋"/>
          <w:kern w:val="0"/>
          <w:szCs w:val="21"/>
        </w:rPr>
        <w:t xml:space="preserve">3.3.3  </w:t>
      </w:r>
      <w:r>
        <w:rPr>
          <w:rFonts w:hint="eastAsia" w:ascii="宋体" w:cs="仿宋"/>
          <w:kern w:val="0"/>
          <w:szCs w:val="21"/>
        </w:rPr>
        <w:t>评标委员会对投标人提交的澄清、说明或补正有疑问的，可以要求投标人进一步澄清、说明或补正，直至满足评标委员会的要求。</w:t>
      </w:r>
    </w:p>
    <w:p>
      <w:pPr>
        <w:pStyle w:val="6"/>
        <w:snapToGrid w:val="0"/>
        <w:spacing w:before="0" w:after="0" w:line="400" w:lineRule="exact"/>
        <w:rPr>
          <w:rFonts w:ascii="宋体" w:cs="仿宋"/>
          <w:snapToGrid w:val="0"/>
          <w:sz w:val="21"/>
          <w:szCs w:val="21"/>
        </w:rPr>
      </w:pPr>
      <w:bookmarkStart w:id="438" w:name="_Toc22977"/>
      <w:bookmarkStart w:id="439" w:name="_Toc224103381"/>
      <w:bookmarkStart w:id="440" w:name="_Toc283211741"/>
      <w:bookmarkStart w:id="441" w:name="_Toc325910622"/>
      <w:bookmarkStart w:id="442" w:name="_Toc200513195"/>
      <w:r>
        <w:rPr>
          <w:rFonts w:ascii="宋体" w:cs="仿宋"/>
          <w:snapToGrid w:val="0"/>
          <w:sz w:val="21"/>
          <w:szCs w:val="21"/>
        </w:rPr>
        <w:t xml:space="preserve">3.4  </w:t>
      </w:r>
      <w:r>
        <w:rPr>
          <w:rFonts w:hint="eastAsia" w:ascii="宋体" w:cs="仿宋"/>
          <w:snapToGrid w:val="0"/>
          <w:sz w:val="21"/>
          <w:szCs w:val="21"/>
        </w:rPr>
        <w:t>评标结果</w:t>
      </w:r>
      <w:bookmarkEnd w:id="438"/>
      <w:bookmarkEnd w:id="439"/>
      <w:bookmarkEnd w:id="440"/>
      <w:bookmarkEnd w:id="441"/>
      <w:bookmarkEnd w:id="442"/>
    </w:p>
    <w:p>
      <w:pPr>
        <w:autoSpaceDE w:val="0"/>
        <w:autoSpaceDN w:val="0"/>
        <w:adjustRightInd w:val="0"/>
        <w:snapToGrid w:val="0"/>
        <w:spacing w:line="400" w:lineRule="exact"/>
        <w:ind w:firstLine="401" w:firstLineChars="191"/>
        <w:jc w:val="left"/>
        <w:rPr>
          <w:rFonts w:ascii="宋体" w:cs="仿宋"/>
          <w:kern w:val="0"/>
          <w:szCs w:val="21"/>
        </w:rPr>
      </w:pPr>
      <w:r>
        <w:rPr>
          <w:rFonts w:ascii="宋体" w:cs="仿宋"/>
          <w:kern w:val="0"/>
          <w:szCs w:val="21"/>
        </w:rPr>
        <w:t xml:space="preserve">3.4.1  </w:t>
      </w:r>
      <w:r>
        <w:rPr>
          <w:rFonts w:hint="eastAsia" w:ascii="宋体" w:cs="仿宋"/>
          <w:kern w:val="0"/>
          <w:szCs w:val="21"/>
        </w:rPr>
        <w:t>评标委员会按照经评审的投标报价由低到高的顺序推荐中标候选人。</w:t>
      </w:r>
    </w:p>
    <w:p>
      <w:pPr>
        <w:autoSpaceDE w:val="0"/>
        <w:autoSpaceDN w:val="0"/>
        <w:adjustRightInd w:val="0"/>
        <w:snapToGrid w:val="0"/>
        <w:spacing w:line="400" w:lineRule="exact"/>
        <w:ind w:firstLine="401" w:firstLineChars="191"/>
        <w:jc w:val="left"/>
        <w:rPr>
          <w:rFonts w:ascii="宋体" w:cs="仿宋"/>
          <w:kern w:val="0"/>
          <w:szCs w:val="21"/>
        </w:rPr>
      </w:pPr>
      <w:r>
        <w:rPr>
          <w:rFonts w:ascii="宋体" w:cs="仿宋"/>
          <w:kern w:val="0"/>
          <w:szCs w:val="21"/>
        </w:rPr>
        <w:t xml:space="preserve">3.4.2  </w:t>
      </w:r>
      <w:r>
        <w:rPr>
          <w:rFonts w:hint="eastAsia" w:ascii="宋体" w:cs="仿宋"/>
          <w:kern w:val="0"/>
          <w:szCs w:val="21"/>
        </w:rPr>
        <w:t>评标委员会完成评标后，应当向招标人提交书面评标报告。</w:t>
      </w: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autoSpaceDE w:val="0"/>
        <w:autoSpaceDN w:val="0"/>
        <w:adjustRightInd w:val="0"/>
        <w:snapToGrid w:val="0"/>
        <w:spacing w:line="360" w:lineRule="auto"/>
        <w:jc w:val="left"/>
        <w:rPr>
          <w:rFonts w:ascii="宋体" w:hAnsi="宋体"/>
          <w:kern w:val="0"/>
          <w:sz w:val="24"/>
          <w:szCs w:val="24"/>
        </w:rPr>
      </w:pPr>
      <w:r>
        <w:rPr>
          <w:rFonts w:hint="eastAsia" w:ascii="宋体" w:hAnsi="宋体"/>
          <w:kern w:val="0"/>
          <w:sz w:val="24"/>
          <w:szCs w:val="24"/>
        </w:rPr>
        <w:t>附件A：否决投标条件</w:t>
      </w:r>
    </w:p>
    <w:p>
      <w:pPr>
        <w:pStyle w:val="36"/>
        <w:spacing w:line="800" w:lineRule="exact"/>
        <w:rPr>
          <w:rFonts w:ascii="黑体" w:hAnsi="宋体" w:eastAsia="黑体" w:cs="宋体"/>
          <w:b/>
          <w:sz w:val="28"/>
          <w:szCs w:val="28"/>
          <w:lang w:eastAsia="zh-CN"/>
        </w:rPr>
      </w:pPr>
      <w:bookmarkStart w:id="443" w:name="招标文件03章02评标办法综合评估法02附件02"/>
      <w:bookmarkEnd w:id="443"/>
      <w:bookmarkStart w:id="444" w:name="招标文件04章合同条款及格式"/>
      <w:bookmarkEnd w:id="444"/>
      <w:r>
        <w:rPr>
          <w:rFonts w:hint="eastAsia" w:ascii="黑体" w:hAnsi="宋体" w:eastAsia="黑体" w:cs="宋体"/>
          <w:b/>
          <w:sz w:val="28"/>
          <w:szCs w:val="28"/>
          <w:lang w:eastAsia="zh-CN"/>
        </w:rPr>
        <w:t>附件A：经评审的最低投标价法否决投标情况一览表</w:t>
      </w:r>
    </w:p>
    <w:p>
      <w:pPr>
        <w:pStyle w:val="36"/>
        <w:spacing w:line="700" w:lineRule="exact"/>
        <w:jc w:val="both"/>
        <w:rPr>
          <w:rFonts w:ascii="宋体" w:hAnsi="宋体" w:cs="宋体"/>
          <w:b/>
          <w:sz w:val="24"/>
          <w:u w:val="none"/>
          <w:lang w:eastAsia="zh-CN"/>
        </w:rPr>
      </w:pPr>
      <w:r>
        <w:rPr>
          <w:rFonts w:hint="eastAsia" w:ascii="宋体" w:hAnsi="宋体" w:cs="宋体"/>
          <w:b/>
          <w:sz w:val="24"/>
          <w:u w:val="none"/>
          <w:lang w:eastAsia="zh-CN"/>
        </w:rPr>
        <w:t>一览表否决投标条件之外的评标委员会不得判为重大偏差。</w:t>
      </w:r>
      <w:bookmarkStart w:id="445" w:name="招标文件03章01评标办法经评审的最低投标价法02附件04"/>
      <w:bookmarkEnd w:id="445"/>
      <w:bookmarkStart w:id="446" w:name="招标文件03章01评标办法经评审的最低投标价法02附件02"/>
      <w:bookmarkEnd w:id="446"/>
      <w:bookmarkStart w:id="447" w:name="招标文件03章01评标办法经评审的最低投标价法02附件06"/>
      <w:bookmarkEnd w:id="447"/>
    </w:p>
    <w:tbl>
      <w:tblPr>
        <w:tblStyle w:val="5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7"/>
        <w:gridCol w:w="1486"/>
        <w:gridCol w:w="67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8" w:hRule="atLeast"/>
          <w:tblHeader/>
        </w:trPr>
        <w:tc>
          <w:tcPr>
            <w:tcW w:w="1207" w:type="dxa"/>
            <w:vAlign w:val="bottom"/>
          </w:tcPr>
          <w:p>
            <w:pPr>
              <w:jc w:val="center"/>
              <w:rPr>
                <w:b/>
                <w:sz w:val="24"/>
                <w:szCs w:val="24"/>
              </w:rPr>
            </w:pPr>
            <w:r>
              <w:rPr>
                <w:rFonts w:hint="eastAsia"/>
                <w:b/>
                <w:sz w:val="24"/>
                <w:szCs w:val="24"/>
              </w:rPr>
              <w:t>章节号</w:t>
            </w:r>
          </w:p>
        </w:tc>
        <w:tc>
          <w:tcPr>
            <w:tcW w:w="1486" w:type="dxa"/>
            <w:vAlign w:val="bottom"/>
          </w:tcPr>
          <w:p>
            <w:pPr>
              <w:jc w:val="center"/>
              <w:rPr>
                <w:b/>
                <w:sz w:val="24"/>
                <w:szCs w:val="24"/>
              </w:rPr>
            </w:pPr>
            <w:r>
              <w:rPr>
                <w:rFonts w:hint="eastAsia"/>
                <w:b/>
                <w:sz w:val="24"/>
                <w:szCs w:val="24"/>
              </w:rPr>
              <w:t>条款名称</w:t>
            </w:r>
          </w:p>
        </w:tc>
        <w:tc>
          <w:tcPr>
            <w:tcW w:w="6786" w:type="dxa"/>
            <w:vAlign w:val="bottom"/>
          </w:tcPr>
          <w:p>
            <w:pPr>
              <w:jc w:val="center"/>
              <w:rPr>
                <w:b/>
                <w:sz w:val="24"/>
                <w:szCs w:val="24"/>
              </w:rPr>
            </w:pPr>
            <w:r>
              <w:rPr>
                <w:rFonts w:hint="eastAsia"/>
                <w:b/>
                <w:sz w:val="24"/>
                <w:szCs w:val="24"/>
              </w:rPr>
              <w:t>否决投标条件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6" w:hRule="atLeast"/>
        </w:trPr>
        <w:tc>
          <w:tcPr>
            <w:tcW w:w="1207" w:type="dxa"/>
            <w:vMerge w:val="restart"/>
            <w:vAlign w:val="center"/>
          </w:tcPr>
          <w:p>
            <w:pPr>
              <w:autoSpaceDE w:val="0"/>
              <w:autoSpaceDN w:val="0"/>
              <w:adjustRightInd w:val="0"/>
              <w:snapToGrid w:val="0"/>
              <w:spacing w:line="360" w:lineRule="auto"/>
              <w:jc w:val="center"/>
              <w:rPr>
                <w:rFonts w:ascii="宋体" w:hAnsi="宋体" w:cs="MingLiU"/>
                <w:kern w:val="0"/>
                <w:szCs w:val="21"/>
              </w:rPr>
            </w:pPr>
            <w:r>
              <w:rPr>
                <w:rFonts w:hint="eastAsia" w:ascii="宋体" w:hAnsi="宋体" w:cs="MingLiU"/>
                <w:kern w:val="0"/>
                <w:szCs w:val="21"/>
              </w:rPr>
              <w:t>第二章</w:t>
            </w:r>
          </w:p>
          <w:p>
            <w:pPr>
              <w:autoSpaceDE w:val="0"/>
              <w:autoSpaceDN w:val="0"/>
              <w:adjustRightInd w:val="0"/>
              <w:snapToGrid w:val="0"/>
              <w:spacing w:line="360" w:lineRule="auto"/>
              <w:jc w:val="center"/>
              <w:rPr>
                <w:rFonts w:ascii="宋体" w:hAnsi="宋体" w:cs="MingLiU"/>
                <w:kern w:val="0"/>
                <w:szCs w:val="21"/>
              </w:rPr>
            </w:pPr>
            <w:r>
              <w:rPr>
                <w:rFonts w:hint="eastAsia" w:ascii="宋体" w:hAnsi="宋体" w:cs="MingLiU"/>
                <w:kern w:val="0"/>
                <w:szCs w:val="21"/>
              </w:rPr>
              <w:t>3.2</w:t>
            </w:r>
          </w:p>
        </w:tc>
        <w:tc>
          <w:tcPr>
            <w:tcW w:w="1486" w:type="dxa"/>
            <w:vMerge w:val="restart"/>
            <w:tcBorders>
              <w:top w:val="single" w:color="auto" w:sz="4" w:space="0"/>
            </w:tcBorders>
            <w:vAlign w:val="center"/>
          </w:tcPr>
          <w:p>
            <w:pPr>
              <w:autoSpaceDE w:val="0"/>
              <w:autoSpaceDN w:val="0"/>
              <w:adjustRightInd w:val="0"/>
              <w:snapToGrid w:val="0"/>
              <w:spacing w:line="360" w:lineRule="auto"/>
              <w:jc w:val="center"/>
              <w:rPr>
                <w:rFonts w:ascii="宋体" w:hAnsi="宋体" w:cs="MingLiU"/>
                <w:kern w:val="0"/>
                <w:szCs w:val="21"/>
              </w:rPr>
            </w:pPr>
            <w:r>
              <w:rPr>
                <w:rFonts w:hint="eastAsia" w:ascii="宋体" w:hAnsi="宋体" w:cs="MingLiU"/>
                <w:kern w:val="0"/>
                <w:szCs w:val="21"/>
              </w:rPr>
              <w:t>投标报价</w:t>
            </w:r>
          </w:p>
        </w:tc>
        <w:tc>
          <w:tcPr>
            <w:tcW w:w="6786" w:type="dxa"/>
            <w:vAlign w:val="center"/>
          </w:tcPr>
          <w:p>
            <w:pPr>
              <w:autoSpaceDE w:val="0"/>
              <w:autoSpaceDN w:val="0"/>
              <w:adjustRightInd w:val="0"/>
              <w:snapToGrid w:val="0"/>
              <w:spacing w:line="360" w:lineRule="exact"/>
              <w:ind w:firstLine="400" w:firstLineChars="200"/>
              <w:jc w:val="left"/>
              <w:rPr>
                <w:rFonts w:ascii="宋体" w:hAnsi="宋体" w:cs="MingLiU"/>
                <w:kern w:val="0"/>
                <w:sz w:val="20"/>
                <w:u w:val="single"/>
              </w:rPr>
            </w:pPr>
            <w:r>
              <w:rPr>
                <w:rFonts w:hint="eastAsia" w:ascii="宋体" w:hAnsi="宋体" w:cs="MingLiU"/>
                <w:kern w:val="0"/>
                <w:sz w:val="20"/>
              </w:rPr>
              <w:t>投标函的投标总报价必须与已标价工程量清单总报价一致。否则其投标文件按否决投标处理。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8" w:hRule="atLeast"/>
        </w:trPr>
        <w:tc>
          <w:tcPr>
            <w:tcW w:w="1207" w:type="dxa"/>
            <w:vMerge w:val="continue"/>
            <w:vAlign w:val="center"/>
          </w:tcPr>
          <w:p>
            <w:pPr>
              <w:autoSpaceDE w:val="0"/>
              <w:autoSpaceDN w:val="0"/>
              <w:adjustRightInd w:val="0"/>
              <w:snapToGrid w:val="0"/>
              <w:spacing w:line="360" w:lineRule="auto"/>
              <w:ind w:firstLine="420"/>
              <w:jc w:val="left"/>
              <w:rPr>
                <w:rFonts w:ascii="宋体" w:hAnsi="宋体" w:cs="MingLiU"/>
                <w:kern w:val="0"/>
                <w:szCs w:val="21"/>
              </w:rPr>
            </w:pPr>
          </w:p>
        </w:tc>
        <w:tc>
          <w:tcPr>
            <w:tcW w:w="1486" w:type="dxa"/>
            <w:vMerge w:val="continue"/>
            <w:vAlign w:val="center"/>
          </w:tcPr>
          <w:p>
            <w:pPr>
              <w:autoSpaceDE w:val="0"/>
              <w:autoSpaceDN w:val="0"/>
              <w:adjustRightInd w:val="0"/>
              <w:snapToGrid w:val="0"/>
              <w:spacing w:line="360" w:lineRule="auto"/>
              <w:jc w:val="center"/>
              <w:rPr>
                <w:rFonts w:ascii="宋体" w:hAnsi="宋体" w:cs="MingLiU"/>
                <w:kern w:val="0"/>
                <w:szCs w:val="21"/>
              </w:rPr>
            </w:pPr>
          </w:p>
        </w:tc>
        <w:tc>
          <w:tcPr>
            <w:tcW w:w="6786" w:type="dxa"/>
            <w:vAlign w:val="center"/>
          </w:tcPr>
          <w:p>
            <w:pPr>
              <w:autoSpaceDE w:val="0"/>
              <w:autoSpaceDN w:val="0"/>
              <w:adjustRightInd w:val="0"/>
              <w:snapToGrid w:val="0"/>
              <w:spacing w:line="360" w:lineRule="exact"/>
              <w:ind w:firstLine="400" w:firstLineChars="200"/>
              <w:jc w:val="left"/>
              <w:rPr>
                <w:rFonts w:ascii="宋体" w:hAnsi="宋体" w:cs="MingLiU"/>
                <w:kern w:val="0"/>
                <w:sz w:val="20"/>
                <w:u w:val="single"/>
              </w:rPr>
            </w:pPr>
            <w:r>
              <w:rPr>
                <w:rFonts w:hint="eastAsia" w:ascii="宋体" w:hAnsi="宋体" w:cs="MingLiU"/>
                <w:kern w:val="0"/>
                <w:sz w:val="20"/>
              </w:rPr>
              <w:t>投标人在工程量清单中多报的子目和单价或总价发包人将不予接受，并将被视为重大偏差，按否决投标处理。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9" w:hRule="atLeast"/>
        </w:trPr>
        <w:tc>
          <w:tcPr>
            <w:tcW w:w="1207" w:type="dxa"/>
            <w:vMerge w:val="continue"/>
          </w:tcPr>
          <w:p>
            <w:pPr>
              <w:autoSpaceDE w:val="0"/>
              <w:autoSpaceDN w:val="0"/>
              <w:adjustRightInd w:val="0"/>
              <w:snapToGrid w:val="0"/>
              <w:spacing w:line="360" w:lineRule="auto"/>
              <w:ind w:firstLine="420"/>
              <w:jc w:val="left"/>
              <w:rPr>
                <w:rFonts w:ascii="宋体" w:hAnsi="宋体" w:cs="MingLiU"/>
                <w:kern w:val="0"/>
                <w:szCs w:val="21"/>
              </w:rPr>
            </w:pPr>
          </w:p>
        </w:tc>
        <w:tc>
          <w:tcPr>
            <w:tcW w:w="1486" w:type="dxa"/>
            <w:vMerge w:val="continue"/>
          </w:tcPr>
          <w:p>
            <w:pPr>
              <w:autoSpaceDE w:val="0"/>
              <w:autoSpaceDN w:val="0"/>
              <w:adjustRightInd w:val="0"/>
              <w:snapToGrid w:val="0"/>
              <w:spacing w:line="360" w:lineRule="auto"/>
              <w:jc w:val="center"/>
              <w:rPr>
                <w:rFonts w:ascii="宋体" w:hAnsi="宋体" w:cs="MingLiU"/>
                <w:kern w:val="0"/>
                <w:szCs w:val="21"/>
              </w:rPr>
            </w:pPr>
          </w:p>
        </w:tc>
        <w:tc>
          <w:tcPr>
            <w:tcW w:w="6786" w:type="dxa"/>
            <w:vAlign w:val="center"/>
          </w:tcPr>
          <w:p>
            <w:pPr>
              <w:autoSpaceDE w:val="0"/>
              <w:autoSpaceDN w:val="0"/>
              <w:adjustRightInd w:val="0"/>
              <w:snapToGrid w:val="0"/>
              <w:spacing w:line="360" w:lineRule="exact"/>
              <w:ind w:firstLine="400" w:firstLineChars="200"/>
              <w:jc w:val="left"/>
              <w:rPr>
                <w:rFonts w:ascii="宋体" w:hAnsi="宋体" w:cs="MingLiU"/>
                <w:kern w:val="0"/>
                <w:sz w:val="20"/>
                <w:u w:val="single"/>
              </w:rPr>
            </w:pPr>
            <w:r>
              <w:rPr>
                <w:rFonts w:hint="eastAsia" w:ascii="宋体" w:hAnsi="宋体" w:cs="MingLiU"/>
                <w:kern w:val="0"/>
                <w:sz w:val="20"/>
              </w:rPr>
              <w:t>投标人在编制投标报价时不得改变比选工程量清单中的项目编码、项目名称、项目特征、计量单位及工程量，否则视为对比选文件不作实质性响应，按否决投标处理。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36" w:hRule="atLeast"/>
        </w:trPr>
        <w:tc>
          <w:tcPr>
            <w:tcW w:w="1207" w:type="dxa"/>
            <w:vMerge w:val="continue"/>
          </w:tcPr>
          <w:p>
            <w:pPr>
              <w:autoSpaceDE w:val="0"/>
              <w:autoSpaceDN w:val="0"/>
              <w:adjustRightInd w:val="0"/>
              <w:snapToGrid w:val="0"/>
              <w:spacing w:line="360" w:lineRule="auto"/>
              <w:ind w:firstLine="420"/>
              <w:jc w:val="left"/>
              <w:rPr>
                <w:rFonts w:ascii="宋体" w:hAnsi="宋体" w:cs="MingLiU"/>
                <w:kern w:val="0"/>
                <w:szCs w:val="21"/>
              </w:rPr>
            </w:pPr>
          </w:p>
        </w:tc>
        <w:tc>
          <w:tcPr>
            <w:tcW w:w="1486" w:type="dxa"/>
            <w:vMerge w:val="continue"/>
          </w:tcPr>
          <w:p>
            <w:pPr>
              <w:autoSpaceDE w:val="0"/>
              <w:autoSpaceDN w:val="0"/>
              <w:adjustRightInd w:val="0"/>
              <w:snapToGrid w:val="0"/>
              <w:spacing w:line="360" w:lineRule="auto"/>
              <w:jc w:val="center"/>
              <w:rPr>
                <w:rFonts w:ascii="宋体" w:hAnsi="宋体" w:cs="MingLiU"/>
                <w:kern w:val="0"/>
                <w:szCs w:val="21"/>
              </w:rPr>
            </w:pPr>
          </w:p>
        </w:tc>
        <w:tc>
          <w:tcPr>
            <w:tcW w:w="6786" w:type="dxa"/>
            <w:vAlign w:val="center"/>
          </w:tcPr>
          <w:p>
            <w:pPr>
              <w:autoSpaceDE w:val="0"/>
              <w:autoSpaceDN w:val="0"/>
              <w:adjustRightInd w:val="0"/>
              <w:snapToGrid w:val="0"/>
              <w:spacing w:line="360" w:lineRule="exact"/>
              <w:ind w:firstLine="400" w:firstLineChars="200"/>
              <w:jc w:val="left"/>
              <w:rPr>
                <w:rFonts w:ascii="宋体" w:hAnsi="宋体" w:cs="MingLiU"/>
                <w:kern w:val="0"/>
                <w:sz w:val="20"/>
                <w:u w:val="single"/>
              </w:rPr>
            </w:pPr>
            <w:r>
              <w:rPr>
                <w:rFonts w:hint="eastAsia" w:ascii="宋体" w:hAnsi="宋体" w:cs="MingLiU"/>
                <w:kern w:val="0"/>
                <w:sz w:val="20"/>
              </w:rPr>
              <w:t>比选人在工程量清单中所列出的价格（包括暂列金额、暂估价等），投标人不得修改。否则，将被认定为按否决投标处理。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60" w:hRule="atLeast"/>
        </w:trPr>
        <w:tc>
          <w:tcPr>
            <w:tcW w:w="1207" w:type="dxa"/>
            <w:vMerge w:val="continue"/>
          </w:tcPr>
          <w:p>
            <w:pPr>
              <w:autoSpaceDE w:val="0"/>
              <w:autoSpaceDN w:val="0"/>
              <w:adjustRightInd w:val="0"/>
              <w:snapToGrid w:val="0"/>
              <w:spacing w:line="360" w:lineRule="auto"/>
              <w:ind w:firstLine="420"/>
              <w:jc w:val="left"/>
              <w:rPr>
                <w:rFonts w:ascii="宋体" w:hAnsi="宋体" w:cs="MingLiU"/>
                <w:kern w:val="0"/>
                <w:szCs w:val="21"/>
              </w:rPr>
            </w:pPr>
          </w:p>
        </w:tc>
        <w:tc>
          <w:tcPr>
            <w:tcW w:w="1486" w:type="dxa"/>
            <w:vMerge w:val="continue"/>
          </w:tcPr>
          <w:p>
            <w:pPr>
              <w:autoSpaceDE w:val="0"/>
              <w:autoSpaceDN w:val="0"/>
              <w:adjustRightInd w:val="0"/>
              <w:snapToGrid w:val="0"/>
              <w:spacing w:line="360" w:lineRule="auto"/>
              <w:jc w:val="center"/>
              <w:rPr>
                <w:rFonts w:ascii="宋体" w:hAnsi="宋体" w:cs="MingLiU"/>
                <w:kern w:val="0"/>
                <w:szCs w:val="21"/>
              </w:rPr>
            </w:pPr>
          </w:p>
        </w:tc>
        <w:tc>
          <w:tcPr>
            <w:tcW w:w="6786" w:type="dxa"/>
            <w:vAlign w:val="center"/>
          </w:tcPr>
          <w:p>
            <w:pPr>
              <w:autoSpaceDE w:val="0"/>
              <w:autoSpaceDN w:val="0"/>
              <w:adjustRightInd w:val="0"/>
              <w:snapToGrid w:val="0"/>
              <w:spacing w:line="360" w:lineRule="exact"/>
              <w:ind w:firstLine="400" w:firstLineChars="200"/>
              <w:jc w:val="left"/>
              <w:rPr>
                <w:rFonts w:ascii="宋体" w:hAnsi="宋体" w:cs="MingLiU"/>
                <w:kern w:val="0"/>
                <w:sz w:val="20"/>
                <w:u w:val="single"/>
              </w:rPr>
            </w:pPr>
            <w:r>
              <w:rPr>
                <w:rFonts w:hint="eastAsia" w:ascii="宋体" w:hAnsi="宋体" w:cs="MingLiU"/>
                <w:kern w:val="0"/>
                <w:sz w:val="20"/>
              </w:rPr>
              <w:t>《投标函》及工程量清单报价中的安全文明施工费必须按照比选人给出的暂定金额填报，否则视为对比选文件不作实质性响应，其投标文件按否决投标处理。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24" w:hRule="atLeast"/>
        </w:trPr>
        <w:tc>
          <w:tcPr>
            <w:tcW w:w="1207" w:type="dxa"/>
            <w:vMerge w:val="continue"/>
          </w:tcPr>
          <w:p>
            <w:pPr>
              <w:autoSpaceDE w:val="0"/>
              <w:autoSpaceDN w:val="0"/>
              <w:adjustRightInd w:val="0"/>
              <w:snapToGrid w:val="0"/>
              <w:spacing w:line="360" w:lineRule="auto"/>
              <w:ind w:firstLine="420"/>
              <w:jc w:val="left"/>
              <w:rPr>
                <w:rFonts w:ascii="宋体" w:hAnsi="宋体" w:cs="MingLiU"/>
                <w:kern w:val="0"/>
                <w:szCs w:val="21"/>
              </w:rPr>
            </w:pPr>
          </w:p>
        </w:tc>
        <w:tc>
          <w:tcPr>
            <w:tcW w:w="1486" w:type="dxa"/>
            <w:vMerge w:val="continue"/>
          </w:tcPr>
          <w:p>
            <w:pPr>
              <w:autoSpaceDE w:val="0"/>
              <w:autoSpaceDN w:val="0"/>
              <w:adjustRightInd w:val="0"/>
              <w:snapToGrid w:val="0"/>
              <w:spacing w:line="360" w:lineRule="auto"/>
              <w:jc w:val="center"/>
              <w:rPr>
                <w:rFonts w:ascii="宋体" w:hAnsi="宋体" w:cs="MingLiU"/>
                <w:kern w:val="0"/>
                <w:szCs w:val="21"/>
              </w:rPr>
            </w:pPr>
          </w:p>
        </w:tc>
        <w:tc>
          <w:tcPr>
            <w:tcW w:w="6786" w:type="dxa"/>
            <w:vAlign w:val="center"/>
          </w:tcPr>
          <w:p>
            <w:pPr>
              <w:autoSpaceDE w:val="0"/>
              <w:autoSpaceDN w:val="0"/>
              <w:adjustRightInd w:val="0"/>
              <w:snapToGrid w:val="0"/>
              <w:spacing w:line="360" w:lineRule="exact"/>
              <w:ind w:firstLine="400" w:firstLineChars="200"/>
              <w:jc w:val="left"/>
              <w:rPr>
                <w:rFonts w:ascii="宋体" w:hAnsi="宋体" w:cs="MingLiU"/>
                <w:kern w:val="0"/>
                <w:sz w:val="20"/>
              </w:rPr>
            </w:pPr>
            <w:r>
              <w:rPr>
                <w:rFonts w:hint="eastAsia" w:ascii="宋体" w:hAnsi="宋体" w:cs="MingLiU"/>
                <w:kern w:val="0"/>
                <w:sz w:val="20"/>
              </w:rPr>
              <w:t>投标人的投标总报价和分部分项工程量清单综合单价报价均不得高于相对应的最高限价。否则其投标文件作否决投标处理。</w:t>
            </w:r>
            <w:r>
              <w:rPr>
                <w:rFonts w:ascii="宋体" w:hAnsi="宋体" w:cs="MingLiU"/>
                <w:kern w:val="0"/>
                <w:sz w:val="20"/>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8" w:hRule="atLeast"/>
        </w:trPr>
        <w:tc>
          <w:tcPr>
            <w:tcW w:w="1207" w:type="dxa"/>
            <w:vAlign w:val="center"/>
          </w:tcPr>
          <w:p>
            <w:pPr>
              <w:jc w:val="center"/>
              <w:rPr>
                <w:rFonts w:ascii="宋体" w:hAnsi="宋体" w:cs="宋体"/>
                <w:sz w:val="20"/>
              </w:rPr>
            </w:pPr>
            <w:r>
              <w:rPr>
                <w:rFonts w:hint="eastAsia" w:ascii="宋体" w:hAnsi="宋体" w:cs="宋体"/>
                <w:sz w:val="20"/>
              </w:rPr>
              <w:t>第二章</w:t>
            </w:r>
          </w:p>
          <w:p>
            <w:pPr>
              <w:jc w:val="center"/>
              <w:rPr>
                <w:rFonts w:ascii="宋体" w:hAnsi="宋体" w:cs="宋体"/>
                <w:sz w:val="20"/>
              </w:rPr>
            </w:pPr>
            <w:r>
              <w:rPr>
                <w:rFonts w:hint="eastAsia" w:ascii="宋体" w:hAnsi="宋体" w:cs="宋体"/>
                <w:sz w:val="20"/>
              </w:rPr>
              <w:t>3.4</w:t>
            </w:r>
          </w:p>
        </w:tc>
        <w:tc>
          <w:tcPr>
            <w:tcW w:w="1486" w:type="dxa"/>
            <w:vAlign w:val="center"/>
          </w:tcPr>
          <w:p>
            <w:pPr>
              <w:jc w:val="center"/>
              <w:rPr>
                <w:rFonts w:ascii="宋体" w:hAnsi="宋体" w:cs="宋体"/>
                <w:sz w:val="20"/>
              </w:rPr>
            </w:pPr>
            <w:r>
              <w:rPr>
                <w:rFonts w:hint="eastAsia" w:ascii="宋体" w:hAnsi="宋体" w:cs="宋体"/>
                <w:sz w:val="20"/>
              </w:rPr>
              <w:t>投标保证金</w:t>
            </w:r>
          </w:p>
        </w:tc>
        <w:tc>
          <w:tcPr>
            <w:tcW w:w="6786" w:type="dxa"/>
            <w:vAlign w:val="center"/>
          </w:tcPr>
          <w:p>
            <w:pPr>
              <w:autoSpaceDE w:val="0"/>
              <w:autoSpaceDN w:val="0"/>
              <w:adjustRightInd w:val="0"/>
              <w:snapToGrid w:val="0"/>
              <w:spacing w:line="360" w:lineRule="exact"/>
              <w:ind w:firstLine="400" w:firstLineChars="200"/>
              <w:rPr>
                <w:rFonts w:ascii="宋体" w:hAnsi="宋体" w:cs="MingLiU"/>
                <w:kern w:val="0"/>
                <w:sz w:val="20"/>
              </w:rPr>
            </w:pPr>
            <w:r>
              <w:rPr>
                <w:rFonts w:hint="eastAsia" w:ascii="宋体" w:hAnsi="宋体" w:cs="MingLiU"/>
                <w:kern w:val="0"/>
                <w:sz w:val="20"/>
              </w:rPr>
              <w:t>投标人在递交投标文件的同时，应按投标人须知前附表规定的金额、形式递交投标保证金，并作为其投标文件的组成部分。否则按否决投标处理。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3" w:hRule="atLeast"/>
        </w:trPr>
        <w:tc>
          <w:tcPr>
            <w:tcW w:w="1207" w:type="dxa"/>
            <w:vMerge w:val="restart"/>
            <w:vAlign w:val="center"/>
          </w:tcPr>
          <w:p>
            <w:pPr>
              <w:jc w:val="center"/>
              <w:rPr>
                <w:rFonts w:ascii="宋体" w:hAnsi="宋体" w:cs="宋体"/>
                <w:sz w:val="20"/>
              </w:rPr>
            </w:pPr>
            <w:r>
              <w:rPr>
                <w:rFonts w:hint="eastAsia" w:ascii="宋体" w:hAnsi="宋体" w:cs="宋体"/>
                <w:sz w:val="20"/>
              </w:rPr>
              <w:t>第三章3.1</w:t>
            </w:r>
          </w:p>
        </w:tc>
        <w:tc>
          <w:tcPr>
            <w:tcW w:w="1486" w:type="dxa"/>
            <w:vMerge w:val="restart"/>
            <w:vAlign w:val="center"/>
          </w:tcPr>
          <w:p>
            <w:pPr>
              <w:jc w:val="center"/>
              <w:rPr>
                <w:rFonts w:ascii="宋体" w:hAnsi="宋体" w:cs="宋体"/>
                <w:sz w:val="20"/>
              </w:rPr>
            </w:pPr>
            <w:r>
              <w:rPr>
                <w:rFonts w:hint="eastAsia" w:ascii="宋体" w:hAnsi="宋体" w:cs="宋体"/>
                <w:sz w:val="20"/>
              </w:rPr>
              <w:t>初步评审</w:t>
            </w:r>
          </w:p>
        </w:tc>
        <w:tc>
          <w:tcPr>
            <w:tcW w:w="6786" w:type="dxa"/>
          </w:tcPr>
          <w:p>
            <w:pPr>
              <w:autoSpaceDE w:val="0"/>
              <w:autoSpaceDN w:val="0"/>
              <w:adjustRightInd w:val="0"/>
              <w:snapToGrid w:val="0"/>
              <w:spacing w:line="360" w:lineRule="exact"/>
              <w:ind w:firstLine="400" w:firstLineChars="200"/>
              <w:jc w:val="left"/>
              <w:rPr>
                <w:rFonts w:ascii="宋体" w:hAnsi="宋体" w:cs="MingLiU"/>
                <w:kern w:val="0"/>
                <w:sz w:val="20"/>
              </w:rPr>
            </w:pPr>
            <w:r>
              <w:rPr>
                <w:rFonts w:hint="eastAsia" w:ascii="宋体" w:hAnsi="宋体" w:cs="MingLiU"/>
                <w:kern w:val="0"/>
                <w:sz w:val="20"/>
              </w:rPr>
              <w:t>评标委员会依据本章第 2.1 款规定的标准对投标文件进行初步评审。有一项不符合评审标准的，作否决投标处理。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54" w:hRule="atLeast"/>
        </w:trPr>
        <w:tc>
          <w:tcPr>
            <w:tcW w:w="1207" w:type="dxa"/>
            <w:vMerge w:val="continue"/>
          </w:tcPr>
          <w:p>
            <w:pPr>
              <w:autoSpaceDE w:val="0"/>
              <w:autoSpaceDN w:val="0"/>
              <w:adjustRightInd w:val="0"/>
              <w:snapToGrid w:val="0"/>
              <w:spacing w:line="360" w:lineRule="auto"/>
              <w:ind w:firstLine="420"/>
              <w:jc w:val="left"/>
              <w:rPr>
                <w:rFonts w:ascii="宋体" w:hAnsi="宋体" w:cs="MingLiU"/>
                <w:kern w:val="0"/>
                <w:szCs w:val="21"/>
              </w:rPr>
            </w:pPr>
          </w:p>
        </w:tc>
        <w:tc>
          <w:tcPr>
            <w:tcW w:w="1486" w:type="dxa"/>
            <w:vMerge w:val="continue"/>
          </w:tcPr>
          <w:p>
            <w:pPr>
              <w:autoSpaceDE w:val="0"/>
              <w:autoSpaceDN w:val="0"/>
              <w:adjustRightInd w:val="0"/>
              <w:snapToGrid w:val="0"/>
              <w:spacing w:line="360" w:lineRule="auto"/>
              <w:ind w:firstLine="420"/>
              <w:jc w:val="left"/>
              <w:rPr>
                <w:rFonts w:ascii="宋体" w:hAnsi="宋体" w:cs="MingLiU"/>
                <w:kern w:val="0"/>
                <w:szCs w:val="21"/>
              </w:rPr>
            </w:pPr>
          </w:p>
        </w:tc>
        <w:tc>
          <w:tcPr>
            <w:tcW w:w="6786" w:type="dxa"/>
          </w:tcPr>
          <w:p>
            <w:pPr>
              <w:autoSpaceDE w:val="0"/>
              <w:autoSpaceDN w:val="0"/>
              <w:adjustRightInd w:val="0"/>
              <w:snapToGrid w:val="0"/>
              <w:spacing w:line="360" w:lineRule="exact"/>
              <w:jc w:val="left"/>
              <w:rPr>
                <w:rFonts w:ascii="宋体" w:hAnsi="宋体" w:cs="MingLiU"/>
                <w:kern w:val="0"/>
                <w:sz w:val="20"/>
              </w:rPr>
            </w:pPr>
            <w:r>
              <w:rPr>
                <w:rFonts w:hint="eastAsia" w:ascii="宋体" w:hAnsi="宋体" w:cs="MingLiU"/>
                <w:kern w:val="0"/>
                <w:sz w:val="20"/>
              </w:rPr>
              <w:t>投标人有以下情形之一的，其投标作否决投标处理：</w:t>
            </w:r>
          </w:p>
          <w:p>
            <w:pPr>
              <w:autoSpaceDE w:val="0"/>
              <w:autoSpaceDN w:val="0"/>
              <w:adjustRightInd w:val="0"/>
              <w:snapToGrid w:val="0"/>
              <w:spacing w:line="360" w:lineRule="exact"/>
              <w:ind w:firstLine="400" w:firstLineChars="200"/>
              <w:jc w:val="left"/>
              <w:rPr>
                <w:rFonts w:ascii="宋体" w:hAnsi="宋体" w:cs="MingLiU"/>
                <w:kern w:val="0"/>
                <w:sz w:val="20"/>
              </w:rPr>
            </w:pPr>
            <w:r>
              <w:rPr>
                <w:rFonts w:hint="eastAsia" w:ascii="宋体" w:hAnsi="宋体" w:cs="MingLiU"/>
                <w:kern w:val="0"/>
                <w:sz w:val="20"/>
              </w:rPr>
              <w:t>（1）第二章“投标人须知”第 1.4.3 项规定的任何一种情形的；</w:t>
            </w:r>
          </w:p>
          <w:p>
            <w:pPr>
              <w:autoSpaceDE w:val="0"/>
              <w:autoSpaceDN w:val="0"/>
              <w:adjustRightInd w:val="0"/>
              <w:snapToGrid w:val="0"/>
              <w:spacing w:line="360" w:lineRule="exact"/>
              <w:ind w:firstLine="400" w:firstLineChars="200"/>
              <w:jc w:val="left"/>
              <w:rPr>
                <w:rFonts w:ascii="宋体" w:hAnsi="宋体" w:cs="MingLiU"/>
                <w:kern w:val="0"/>
                <w:sz w:val="20"/>
              </w:rPr>
            </w:pPr>
            <w:r>
              <w:rPr>
                <w:rFonts w:hint="eastAsia" w:ascii="宋体" w:hAnsi="宋体" w:cs="MingLiU"/>
                <w:kern w:val="0"/>
                <w:sz w:val="20"/>
              </w:rPr>
              <w:t>（2）串通投标或弄虚作假或有其他违法行为的；</w:t>
            </w:r>
          </w:p>
          <w:p>
            <w:pPr>
              <w:spacing w:line="360" w:lineRule="exact"/>
              <w:ind w:firstLine="400" w:firstLineChars="200"/>
              <w:rPr>
                <w:rFonts w:ascii="宋体" w:hAnsi="宋体" w:cs="MingLiU"/>
                <w:kern w:val="0"/>
                <w:sz w:val="20"/>
              </w:rPr>
            </w:pPr>
            <w:r>
              <w:rPr>
                <w:rFonts w:hint="eastAsia" w:ascii="宋体" w:hAnsi="宋体" w:cs="MingLiU"/>
                <w:kern w:val="0"/>
                <w:sz w:val="20"/>
              </w:rPr>
              <w:t>（3）不按评标委员会要求澄清、说明或补正的；</w:t>
            </w:r>
          </w:p>
          <w:p>
            <w:pPr>
              <w:spacing w:line="360" w:lineRule="exact"/>
              <w:ind w:firstLine="400" w:firstLineChars="200"/>
              <w:rPr>
                <w:rFonts w:ascii="宋体" w:hAnsi="宋体" w:cs="MingLiU"/>
                <w:kern w:val="0"/>
                <w:sz w:val="20"/>
              </w:rPr>
            </w:pPr>
            <w:r>
              <w:rPr>
                <w:rFonts w:hint="eastAsia" w:ascii="宋体" w:hAnsi="宋体" w:cs="MingLiU"/>
                <w:kern w:val="0"/>
                <w:sz w:val="20"/>
              </w:rPr>
              <w:t>（4）本比选文件约定的其它情形。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57" w:hRule="atLeast"/>
        </w:trPr>
        <w:tc>
          <w:tcPr>
            <w:tcW w:w="1207" w:type="dxa"/>
            <w:vMerge w:val="continue"/>
          </w:tcPr>
          <w:p>
            <w:pPr>
              <w:autoSpaceDE w:val="0"/>
              <w:autoSpaceDN w:val="0"/>
              <w:adjustRightInd w:val="0"/>
              <w:snapToGrid w:val="0"/>
              <w:spacing w:line="360" w:lineRule="auto"/>
              <w:ind w:firstLine="420"/>
              <w:jc w:val="left"/>
              <w:rPr>
                <w:rFonts w:ascii="宋体" w:hAnsi="宋体" w:cs="MingLiU"/>
                <w:kern w:val="0"/>
                <w:szCs w:val="21"/>
              </w:rPr>
            </w:pPr>
          </w:p>
        </w:tc>
        <w:tc>
          <w:tcPr>
            <w:tcW w:w="1486" w:type="dxa"/>
            <w:vMerge w:val="continue"/>
          </w:tcPr>
          <w:p>
            <w:pPr>
              <w:autoSpaceDE w:val="0"/>
              <w:autoSpaceDN w:val="0"/>
              <w:adjustRightInd w:val="0"/>
              <w:snapToGrid w:val="0"/>
              <w:spacing w:line="360" w:lineRule="auto"/>
              <w:ind w:firstLine="420"/>
              <w:jc w:val="left"/>
              <w:rPr>
                <w:rFonts w:ascii="宋体" w:hAnsi="宋体" w:cs="MingLiU"/>
                <w:kern w:val="0"/>
                <w:szCs w:val="21"/>
              </w:rPr>
            </w:pPr>
          </w:p>
        </w:tc>
        <w:tc>
          <w:tcPr>
            <w:tcW w:w="6786" w:type="dxa"/>
          </w:tcPr>
          <w:p>
            <w:pPr>
              <w:autoSpaceDE w:val="0"/>
              <w:autoSpaceDN w:val="0"/>
              <w:adjustRightInd w:val="0"/>
              <w:snapToGrid w:val="0"/>
              <w:spacing w:line="360" w:lineRule="exact"/>
              <w:ind w:firstLine="400" w:firstLineChars="200"/>
              <w:jc w:val="left"/>
              <w:rPr>
                <w:rFonts w:ascii="宋体" w:hAnsi="宋体" w:cs="MingLiU"/>
                <w:kern w:val="0"/>
                <w:sz w:val="20"/>
              </w:rPr>
            </w:pPr>
            <w:r>
              <w:rPr>
                <w:rFonts w:hint="eastAsia" w:ascii="宋体" w:hAnsi="宋体" w:cs="MingLiU"/>
                <w:kern w:val="0"/>
                <w:sz w:val="20"/>
              </w:rPr>
              <w:t>投标报价有算术错误的，评标委员会按以下原则对投标报价进行修正，修正的价格经投标人书面确认后具有约束力。投标人不接受修正价格的，其投标作否决投标处理。</w:t>
            </w:r>
          </w:p>
          <w:p>
            <w:pPr>
              <w:autoSpaceDE w:val="0"/>
              <w:autoSpaceDN w:val="0"/>
              <w:adjustRightInd w:val="0"/>
              <w:snapToGrid w:val="0"/>
              <w:spacing w:line="360" w:lineRule="exact"/>
              <w:ind w:firstLine="400" w:firstLineChars="200"/>
              <w:jc w:val="left"/>
              <w:rPr>
                <w:rFonts w:ascii="宋体" w:hAnsi="宋体" w:cs="MingLiU"/>
                <w:kern w:val="0"/>
                <w:sz w:val="20"/>
              </w:rPr>
            </w:pPr>
            <w:r>
              <w:rPr>
                <w:rFonts w:hint="eastAsia" w:ascii="宋体" w:hAnsi="宋体" w:cs="MingLiU"/>
                <w:kern w:val="0"/>
                <w:sz w:val="20"/>
              </w:rPr>
              <w:t>（1）投标文件中的大写金额与小写金额不一致的，以大写金额为准；</w:t>
            </w:r>
          </w:p>
          <w:p>
            <w:pPr>
              <w:autoSpaceDE w:val="0"/>
              <w:autoSpaceDN w:val="0"/>
              <w:adjustRightInd w:val="0"/>
              <w:snapToGrid w:val="0"/>
              <w:spacing w:line="360" w:lineRule="exact"/>
              <w:ind w:firstLine="400" w:firstLineChars="200"/>
              <w:jc w:val="left"/>
              <w:rPr>
                <w:rFonts w:ascii="宋体" w:hAnsi="宋体" w:cs="MingLiU"/>
                <w:kern w:val="0"/>
                <w:sz w:val="20"/>
              </w:rPr>
            </w:pPr>
            <w:r>
              <w:rPr>
                <w:rFonts w:hint="eastAsia" w:ascii="宋体" w:hAnsi="宋体" w:cs="MingLiU"/>
                <w:kern w:val="0"/>
                <w:sz w:val="20"/>
              </w:rPr>
              <w:t>（2）总价金额与依据单价计算出的结果不一致的，以单价金额为准修正总价，但单价金额小数点有明显错误的除外。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02" w:hRule="atLeast"/>
        </w:trPr>
        <w:tc>
          <w:tcPr>
            <w:tcW w:w="1207" w:type="dxa"/>
            <w:vAlign w:val="center"/>
          </w:tcPr>
          <w:p>
            <w:pPr>
              <w:jc w:val="center"/>
              <w:rPr>
                <w:rFonts w:ascii="宋体" w:hAnsi="宋体" w:cs="宋体"/>
                <w:sz w:val="20"/>
              </w:rPr>
            </w:pPr>
            <w:r>
              <w:rPr>
                <w:rFonts w:hint="eastAsia" w:ascii="宋体" w:hAnsi="宋体" w:cs="宋体"/>
                <w:sz w:val="20"/>
              </w:rPr>
              <w:t>其他</w:t>
            </w:r>
          </w:p>
        </w:tc>
        <w:tc>
          <w:tcPr>
            <w:tcW w:w="8272" w:type="dxa"/>
            <w:gridSpan w:val="2"/>
            <w:vAlign w:val="center"/>
          </w:tcPr>
          <w:p>
            <w:pPr>
              <w:autoSpaceDE w:val="0"/>
              <w:autoSpaceDN w:val="0"/>
              <w:adjustRightInd w:val="0"/>
              <w:snapToGrid w:val="0"/>
              <w:spacing w:line="360" w:lineRule="exact"/>
              <w:ind w:firstLine="400" w:firstLineChars="200"/>
              <w:jc w:val="left"/>
              <w:rPr>
                <w:rFonts w:ascii="宋体" w:hAnsi="宋体" w:cs="MingLiU"/>
                <w:kern w:val="0"/>
                <w:sz w:val="20"/>
              </w:rPr>
            </w:pPr>
            <w:r>
              <w:rPr>
                <w:rFonts w:hint="eastAsia" w:ascii="宋体" w:hAnsi="宋体" w:cs="MingLiU"/>
                <w:kern w:val="0"/>
                <w:sz w:val="20"/>
              </w:rPr>
              <w:t>比选文件中规定的其他否决投标条款。</w:t>
            </w:r>
          </w:p>
        </w:tc>
      </w:tr>
    </w:tbl>
    <w:p>
      <w:pPr>
        <w:rPr>
          <w:rFonts w:ascii="宋体" w:cs="仿宋"/>
          <w:b/>
          <w:sz w:val="28"/>
          <w:szCs w:val="28"/>
        </w:rPr>
      </w:pPr>
    </w:p>
    <w:p>
      <w:pPr>
        <w:rPr>
          <w:rFonts w:ascii="宋体" w:cs="仿宋"/>
          <w:b/>
          <w:sz w:val="28"/>
          <w:szCs w:val="28"/>
        </w:rPr>
      </w:pPr>
    </w:p>
    <w:p>
      <w:pPr>
        <w:rPr>
          <w:rFonts w:ascii="宋体" w:cs="仿宋"/>
          <w:b/>
          <w:sz w:val="28"/>
          <w:szCs w:val="28"/>
        </w:rPr>
      </w:pPr>
    </w:p>
    <w:p>
      <w:pPr>
        <w:pStyle w:val="4"/>
        <w:spacing w:before="0" w:after="0" w:line="360" w:lineRule="auto"/>
        <w:jc w:val="center"/>
        <w:rPr>
          <w:rFonts w:ascii="宋体" w:cs="仿宋"/>
          <w:bCs/>
          <w:kern w:val="0"/>
          <w:sz w:val="36"/>
          <w:szCs w:val="36"/>
        </w:rPr>
      </w:pPr>
      <w:bookmarkStart w:id="448" w:name="_Toc8590"/>
    </w:p>
    <w:p>
      <w:pPr>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4"/>
        <w:spacing w:before="0" w:after="0" w:line="360" w:lineRule="auto"/>
        <w:jc w:val="center"/>
        <w:rPr>
          <w:rFonts w:ascii="宋体" w:cs="仿宋"/>
          <w:bCs/>
          <w:kern w:val="0"/>
          <w:sz w:val="36"/>
          <w:szCs w:val="36"/>
        </w:rPr>
      </w:pPr>
      <w:r>
        <w:rPr>
          <w:rFonts w:hint="eastAsia" w:ascii="宋体" w:cs="仿宋"/>
          <w:bCs/>
          <w:kern w:val="0"/>
          <w:sz w:val="36"/>
          <w:szCs w:val="36"/>
        </w:rPr>
        <w:t>第四章</w:t>
      </w:r>
      <w:r>
        <w:rPr>
          <w:rFonts w:ascii="宋体" w:cs="仿宋"/>
          <w:bCs/>
          <w:kern w:val="0"/>
          <w:sz w:val="36"/>
          <w:szCs w:val="36"/>
        </w:rPr>
        <w:t xml:space="preserve">    </w:t>
      </w:r>
      <w:r>
        <w:rPr>
          <w:rFonts w:hint="eastAsia" w:ascii="宋体" w:cs="仿宋"/>
          <w:bCs/>
          <w:kern w:val="0"/>
          <w:sz w:val="36"/>
          <w:szCs w:val="36"/>
        </w:rPr>
        <w:t>合同条款及格式</w:t>
      </w:r>
      <w:bookmarkEnd w:id="391"/>
      <w:bookmarkEnd w:id="392"/>
      <w:bookmarkEnd w:id="448"/>
    </w:p>
    <w:p>
      <w:pPr>
        <w:spacing w:line="360" w:lineRule="auto"/>
        <w:ind w:firstLine="551" w:firstLineChars="196"/>
        <w:rPr>
          <w:rFonts w:ascii="宋体" w:hAnsi="宋体"/>
          <w:b/>
          <w:sz w:val="28"/>
          <w:szCs w:val="28"/>
        </w:rPr>
      </w:pPr>
      <w:bookmarkStart w:id="449" w:name="_Toc325910625"/>
      <w:bookmarkStart w:id="450" w:name="_Toc404628202"/>
      <w:bookmarkStart w:id="451" w:name="_Toc115511266"/>
      <w:r>
        <w:rPr>
          <w:rFonts w:hint="eastAsia" w:ascii="宋体" w:hAnsi="宋体"/>
          <w:b/>
          <w:sz w:val="28"/>
          <w:szCs w:val="28"/>
        </w:rPr>
        <w:t>采用中华人民共和国《标准施工招标文件（2007年版）》（中国计划出版社）第四章第一节的《通用合同条款》。</w:t>
      </w:r>
    </w:p>
    <w:p>
      <w:pPr>
        <w:spacing w:line="360" w:lineRule="auto"/>
        <w:ind w:firstLine="551" w:firstLineChars="196"/>
        <w:rPr>
          <w:b/>
        </w:rPr>
      </w:pPr>
      <w:r>
        <w:rPr>
          <w:rFonts w:hint="eastAsia" w:ascii="宋体" w:hAnsi="宋体"/>
          <w:b/>
          <w:sz w:val="28"/>
          <w:szCs w:val="28"/>
        </w:rPr>
        <w:t>专用合同条款是对通用合同条款的补充和细化，投标人在投标前应阅读专用合同条款与通用合同条款，以便全面熟悉该工程的全部情况。</w:t>
      </w:r>
    </w:p>
    <w:p>
      <w:pPr>
        <w:spacing w:line="400" w:lineRule="exact"/>
        <w:rPr>
          <w:rFonts w:ascii="宋体" w:hAnsi="宋体" w:cs="宋体"/>
          <w:b/>
          <w:bCs/>
          <w:szCs w:val="21"/>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spacing w:line="360" w:lineRule="auto"/>
        <w:jc w:val="center"/>
        <w:rPr>
          <w:b/>
          <w:sz w:val="32"/>
          <w:szCs w:val="32"/>
        </w:rPr>
      </w:pPr>
    </w:p>
    <w:p>
      <w:pPr>
        <w:pStyle w:val="205"/>
        <w:rPr>
          <w:b/>
          <w:sz w:val="32"/>
          <w:szCs w:val="32"/>
        </w:rPr>
      </w:pPr>
    </w:p>
    <w:p>
      <w:pPr>
        <w:pStyle w:val="205"/>
        <w:rPr>
          <w:b/>
          <w:sz w:val="32"/>
          <w:szCs w:val="32"/>
        </w:rPr>
      </w:pPr>
    </w:p>
    <w:p>
      <w:pPr>
        <w:pStyle w:val="205"/>
        <w:rPr>
          <w:b/>
          <w:sz w:val="32"/>
          <w:szCs w:val="32"/>
        </w:rPr>
      </w:pPr>
    </w:p>
    <w:p>
      <w:pPr>
        <w:pStyle w:val="205"/>
        <w:rPr>
          <w:b/>
          <w:sz w:val="32"/>
          <w:szCs w:val="32"/>
        </w:rPr>
      </w:pPr>
    </w:p>
    <w:p>
      <w:pPr>
        <w:pStyle w:val="205"/>
        <w:rPr>
          <w:b/>
          <w:sz w:val="32"/>
          <w:szCs w:val="32"/>
        </w:rPr>
      </w:pPr>
    </w:p>
    <w:p>
      <w:pPr>
        <w:pStyle w:val="205"/>
        <w:rPr>
          <w:b/>
          <w:sz w:val="32"/>
          <w:szCs w:val="32"/>
        </w:rPr>
      </w:pPr>
    </w:p>
    <w:p>
      <w:pPr>
        <w:pStyle w:val="205"/>
        <w:rPr>
          <w:b/>
          <w:sz w:val="32"/>
          <w:szCs w:val="32"/>
        </w:rPr>
      </w:pPr>
    </w:p>
    <w:p>
      <w:pPr>
        <w:pStyle w:val="205"/>
        <w:rPr>
          <w:b/>
          <w:sz w:val="32"/>
          <w:szCs w:val="32"/>
        </w:rPr>
      </w:pPr>
    </w:p>
    <w:p>
      <w:pPr>
        <w:pStyle w:val="205"/>
        <w:rPr>
          <w:b/>
          <w:sz w:val="32"/>
          <w:szCs w:val="32"/>
        </w:rPr>
      </w:pPr>
    </w:p>
    <w:p>
      <w:pPr>
        <w:pStyle w:val="205"/>
        <w:rPr>
          <w:b/>
          <w:sz w:val="32"/>
          <w:szCs w:val="32"/>
        </w:rPr>
      </w:pPr>
    </w:p>
    <w:p>
      <w:pPr>
        <w:pStyle w:val="205"/>
        <w:rPr>
          <w:b/>
          <w:sz w:val="32"/>
          <w:szCs w:val="32"/>
        </w:rPr>
      </w:pPr>
    </w:p>
    <w:p>
      <w:pPr>
        <w:pStyle w:val="205"/>
        <w:rPr>
          <w:b/>
          <w:sz w:val="32"/>
          <w:szCs w:val="32"/>
        </w:rPr>
      </w:pPr>
    </w:p>
    <w:p>
      <w:pPr>
        <w:pStyle w:val="205"/>
        <w:rPr>
          <w:b/>
          <w:sz w:val="32"/>
          <w:szCs w:val="32"/>
        </w:rPr>
      </w:pPr>
    </w:p>
    <w:p>
      <w:pPr>
        <w:pStyle w:val="205"/>
        <w:rPr>
          <w:b/>
          <w:sz w:val="32"/>
          <w:szCs w:val="32"/>
        </w:rPr>
      </w:pPr>
    </w:p>
    <w:p>
      <w:pPr>
        <w:pStyle w:val="205"/>
        <w:rPr>
          <w:b/>
          <w:sz w:val="32"/>
          <w:szCs w:val="32"/>
        </w:rPr>
      </w:pPr>
    </w:p>
    <w:p>
      <w:pPr>
        <w:pStyle w:val="205"/>
        <w:rPr>
          <w:b/>
          <w:sz w:val="32"/>
          <w:szCs w:val="32"/>
        </w:rPr>
      </w:pPr>
    </w:p>
    <w:p>
      <w:pPr>
        <w:pStyle w:val="205"/>
        <w:rPr>
          <w:b/>
          <w:sz w:val="32"/>
          <w:szCs w:val="32"/>
        </w:rPr>
      </w:pPr>
    </w:p>
    <w:p>
      <w:pPr>
        <w:pStyle w:val="205"/>
        <w:rPr>
          <w:b/>
          <w:sz w:val="32"/>
          <w:szCs w:val="32"/>
        </w:rPr>
      </w:pPr>
    </w:p>
    <w:p>
      <w:pPr>
        <w:pStyle w:val="205"/>
        <w:rPr>
          <w:b/>
          <w:sz w:val="32"/>
          <w:szCs w:val="32"/>
        </w:rPr>
      </w:pPr>
    </w:p>
    <w:p>
      <w:pPr>
        <w:spacing w:line="360" w:lineRule="auto"/>
        <w:jc w:val="center"/>
        <w:rPr>
          <w:b/>
          <w:sz w:val="32"/>
          <w:szCs w:val="32"/>
        </w:rPr>
      </w:pPr>
      <w:r>
        <w:rPr>
          <w:rFonts w:hint="eastAsia"/>
          <w:b/>
          <w:sz w:val="32"/>
          <w:szCs w:val="32"/>
        </w:rPr>
        <w:t>第一节  合同协议书</w:t>
      </w:r>
    </w:p>
    <w:p>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pPr>
        <w:spacing w:line="360" w:lineRule="auto"/>
        <w:ind w:firstLine="420" w:firstLineChars="200"/>
        <w:rPr>
          <w:rFonts w:ascii="宋体" w:hAnsi="宋体"/>
          <w:b/>
          <w:szCs w:val="21"/>
          <w:u w:val="single"/>
        </w:rPr>
      </w:pPr>
      <w:r>
        <w:rPr>
          <w:rFonts w:hint="eastAsia" w:ascii="宋体" w:hAnsi="宋体"/>
          <w:szCs w:val="21"/>
        </w:rPr>
        <w:t>根据《中华人民共和国合同法》、《中华人民共和国建筑法》及有关法律、法规规定，遵循平等、自愿、公平和诚实信用的原则，双方就</w:t>
      </w:r>
      <w:r>
        <w:rPr>
          <w:rFonts w:hint="eastAsia" w:ascii="宋体" w:hAnsi="宋体"/>
          <w:szCs w:val="21"/>
          <w:u w:val="single"/>
        </w:rPr>
        <w:t xml:space="preserve">                           </w:t>
      </w:r>
      <w:r>
        <w:rPr>
          <w:rFonts w:hint="eastAsia" w:ascii="宋体" w:hAnsi="宋体"/>
          <w:szCs w:val="21"/>
        </w:rPr>
        <w:t>工程施工及有关事项协商一致，共同达成如下协议：</w:t>
      </w:r>
    </w:p>
    <w:p>
      <w:pPr>
        <w:pStyle w:val="7"/>
        <w:spacing w:before="120" w:after="120" w:line="360" w:lineRule="auto"/>
        <w:ind w:firstLine="422" w:firstLineChars="200"/>
        <w:rPr>
          <w:sz w:val="21"/>
          <w:szCs w:val="21"/>
        </w:rPr>
      </w:pPr>
      <w:bookmarkStart w:id="452" w:name="_Toc351203481"/>
      <w:bookmarkStart w:id="453" w:name="_Toc532375573"/>
      <w:bookmarkStart w:id="454" w:name="_Toc532377166"/>
      <w:r>
        <w:rPr>
          <w:rFonts w:hint="eastAsia"/>
          <w:sz w:val="21"/>
          <w:szCs w:val="21"/>
        </w:rPr>
        <w:t>一、工程概况</w:t>
      </w:r>
      <w:bookmarkEnd w:id="452"/>
      <w:bookmarkEnd w:id="453"/>
      <w:bookmarkEnd w:id="454"/>
    </w:p>
    <w:p>
      <w:pPr>
        <w:snapToGrid w:val="0"/>
        <w:spacing w:line="360" w:lineRule="auto"/>
        <w:ind w:firstLine="420" w:firstLineChars="200"/>
        <w:rPr>
          <w:rFonts w:ascii="宋体" w:hAnsi="宋体"/>
          <w:szCs w:val="21"/>
          <w:u w:val="single"/>
        </w:rPr>
      </w:pPr>
      <w:r>
        <w:rPr>
          <w:rFonts w:hint="eastAsia" w:ascii="宋体" w:hAnsi="宋体"/>
          <w:bCs/>
          <w:szCs w:val="21"/>
        </w:rPr>
        <w:t>1.工程名称</w:t>
      </w:r>
      <w:r>
        <w:rPr>
          <w:rFonts w:hint="eastAsia" w:ascii="宋体" w:hAnsi="宋体"/>
          <w:szCs w:val="21"/>
        </w:rPr>
        <w:t>：</w:t>
      </w:r>
      <w:r>
        <w:rPr>
          <w:rFonts w:hint="eastAsia" w:ascii="宋体" w:hAnsi="宋体"/>
          <w:szCs w:val="21"/>
          <w:u w:val="single"/>
        </w:rPr>
        <w:t xml:space="preserve">                                 </w:t>
      </w:r>
      <w:r>
        <w:rPr>
          <w:rFonts w:hint="eastAsia" w:ascii="宋体" w:hAnsi="宋体"/>
          <w:szCs w:val="21"/>
        </w:rPr>
        <w:t>。</w:t>
      </w:r>
    </w:p>
    <w:p>
      <w:pPr>
        <w:snapToGrid w:val="0"/>
        <w:spacing w:line="360" w:lineRule="auto"/>
        <w:ind w:firstLine="420" w:firstLineChars="200"/>
        <w:rPr>
          <w:rFonts w:ascii="宋体" w:hAnsi="宋体"/>
          <w:bCs/>
          <w:szCs w:val="21"/>
        </w:rPr>
      </w:pPr>
      <w:r>
        <w:rPr>
          <w:rFonts w:hint="eastAsia" w:ascii="宋体" w:hAnsi="宋体"/>
          <w:bCs/>
          <w:szCs w:val="21"/>
        </w:rPr>
        <w:t>2.工程地点：</w:t>
      </w:r>
      <w:r>
        <w:rPr>
          <w:rFonts w:hint="eastAsia" w:ascii="宋体" w:hAnsi="宋体"/>
          <w:szCs w:val="21"/>
          <w:u w:val="single"/>
        </w:rPr>
        <w:t xml:space="preserve">                                 </w:t>
      </w:r>
      <w:r>
        <w:rPr>
          <w:rFonts w:hint="eastAsia" w:ascii="宋体" w:hAnsi="宋体"/>
          <w:szCs w:val="21"/>
        </w:rPr>
        <w:t>。</w:t>
      </w:r>
    </w:p>
    <w:p>
      <w:pPr>
        <w:snapToGrid w:val="0"/>
        <w:spacing w:line="360" w:lineRule="auto"/>
        <w:ind w:firstLine="420" w:firstLineChars="200"/>
        <w:rPr>
          <w:rFonts w:ascii="宋体" w:hAnsi="宋体"/>
          <w:bCs/>
          <w:szCs w:val="21"/>
        </w:rPr>
      </w:pPr>
      <w:r>
        <w:rPr>
          <w:rFonts w:hint="eastAsia" w:ascii="宋体" w:hAnsi="宋体"/>
          <w:bCs/>
          <w:szCs w:val="21"/>
        </w:rPr>
        <w:t>3.工程立项批准文号：</w:t>
      </w:r>
      <w:r>
        <w:rPr>
          <w:rFonts w:hint="eastAsia" w:ascii="宋体" w:hAnsi="宋体"/>
          <w:szCs w:val="21"/>
          <w:u w:val="single"/>
        </w:rPr>
        <w:t xml:space="preserve">                        </w:t>
      </w:r>
      <w:r>
        <w:rPr>
          <w:rFonts w:hint="eastAsia" w:ascii="宋体" w:hAnsi="宋体"/>
          <w:bCs/>
          <w:szCs w:val="21"/>
        </w:rPr>
        <w:t>。</w:t>
      </w:r>
    </w:p>
    <w:p>
      <w:pPr>
        <w:snapToGrid w:val="0"/>
        <w:spacing w:line="360" w:lineRule="auto"/>
        <w:ind w:firstLine="420" w:firstLineChars="200"/>
        <w:rPr>
          <w:rFonts w:ascii="宋体" w:hAnsi="宋体"/>
          <w:bCs/>
          <w:szCs w:val="21"/>
        </w:rPr>
      </w:pPr>
      <w:r>
        <w:rPr>
          <w:rFonts w:hint="eastAsia" w:ascii="宋体" w:hAnsi="宋体"/>
          <w:bCs/>
          <w:szCs w:val="21"/>
        </w:rPr>
        <w:t>4.资金来源：</w:t>
      </w:r>
      <w:r>
        <w:rPr>
          <w:rFonts w:hint="eastAsia" w:ascii="宋体" w:hAnsi="宋体"/>
          <w:szCs w:val="21"/>
          <w:u w:val="single"/>
        </w:rPr>
        <w:t xml:space="preserve">                                 </w:t>
      </w:r>
      <w:r>
        <w:rPr>
          <w:rFonts w:hint="eastAsia" w:ascii="宋体" w:hAnsi="宋体"/>
          <w:szCs w:val="21"/>
        </w:rPr>
        <w:t>。</w:t>
      </w:r>
    </w:p>
    <w:p>
      <w:pPr>
        <w:snapToGrid w:val="0"/>
        <w:spacing w:line="360" w:lineRule="auto"/>
        <w:ind w:firstLine="420" w:firstLineChars="200"/>
        <w:rPr>
          <w:rFonts w:ascii="宋体" w:hAnsi="宋体"/>
          <w:bCs/>
          <w:szCs w:val="21"/>
        </w:rPr>
      </w:pPr>
      <w:r>
        <w:rPr>
          <w:rFonts w:hint="eastAsia" w:ascii="宋体" w:hAnsi="宋体"/>
          <w:bCs/>
          <w:szCs w:val="21"/>
        </w:rPr>
        <w:t>5.工程内容：</w:t>
      </w:r>
      <w:r>
        <w:rPr>
          <w:rFonts w:hint="eastAsia" w:ascii="宋体" w:hAnsi="宋体"/>
          <w:szCs w:val="21"/>
          <w:u w:val="single"/>
        </w:rPr>
        <w:t xml:space="preserve">                                 </w:t>
      </w:r>
      <w:r>
        <w:rPr>
          <w:rFonts w:hint="eastAsia" w:ascii="宋体" w:hAnsi="宋体"/>
          <w:szCs w:val="21"/>
        </w:rPr>
        <w:t>。</w:t>
      </w:r>
    </w:p>
    <w:p>
      <w:pPr>
        <w:snapToGrid w:val="0"/>
        <w:spacing w:line="360" w:lineRule="auto"/>
        <w:ind w:firstLine="420" w:firstLineChars="200"/>
        <w:jc w:val="left"/>
        <w:rPr>
          <w:rFonts w:ascii="宋体" w:hAnsi="宋体"/>
          <w:bCs/>
          <w:szCs w:val="21"/>
        </w:rPr>
      </w:pPr>
      <w:r>
        <w:rPr>
          <w:rFonts w:hint="eastAsia" w:ascii="宋体" w:hAnsi="宋体"/>
          <w:bCs/>
          <w:szCs w:val="21"/>
        </w:rPr>
        <w:t>6.工程承包范围：</w:t>
      </w:r>
      <w:r>
        <w:rPr>
          <w:rFonts w:hint="eastAsia" w:ascii="宋体" w:hAnsi="宋体"/>
          <w:szCs w:val="21"/>
          <w:u w:val="single"/>
        </w:rPr>
        <w:t xml:space="preserve">                     </w:t>
      </w:r>
      <w:r>
        <w:rPr>
          <w:rFonts w:hint="eastAsia" w:ascii="宋体" w:hAnsi="宋体"/>
          <w:szCs w:val="21"/>
        </w:rPr>
        <w:t>。</w:t>
      </w:r>
    </w:p>
    <w:p>
      <w:pPr>
        <w:pStyle w:val="7"/>
        <w:spacing w:before="120" w:after="120" w:line="360" w:lineRule="auto"/>
        <w:ind w:firstLine="422" w:firstLineChars="200"/>
        <w:rPr>
          <w:sz w:val="21"/>
          <w:szCs w:val="21"/>
        </w:rPr>
      </w:pPr>
      <w:bookmarkStart w:id="455" w:name="_Toc532375574"/>
      <w:bookmarkStart w:id="456" w:name="_Toc532377167"/>
      <w:bookmarkStart w:id="457" w:name="_Toc351203482"/>
      <w:r>
        <w:rPr>
          <w:rFonts w:hint="eastAsia"/>
          <w:sz w:val="21"/>
          <w:szCs w:val="21"/>
        </w:rPr>
        <w:t>二、合同工期</w:t>
      </w:r>
      <w:bookmarkEnd w:id="455"/>
      <w:bookmarkEnd w:id="456"/>
      <w:bookmarkEnd w:id="457"/>
    </w:p>
    <w:p>
      <w:pPr>
        <w:spacing w:line="360" w:lineRule="auto"/>
        <w:ind w:firstLine="420" w:firstLineChars="200"/>
        <w:rPr>
          <w:rFonts w:ascii="宋体" w:hAnsi="宋体"/>
          <w:bCs/>
          <w:szCs w:val="21"/>
        </w:rPr>
      </w:pPr>
      <w:r>
        <w:rPr>
          <w:rFonts w:hint="eastAsia" w:ascii="宋体" w:hAnsi="宋体"/>
          <w:bCs/>
          <w:szCs w:val="21"/>
        </w:rPr>
        <w:t>承包人投标函中承诺的工期：</w:t>
      </w:r>
      <w:r>
        <w:rPr>
          <w:rFonts w:hint="eastAsia" w:ascii="宋体" w:hAnsi="宋体"/>
          <w:bCs/>
          <w:szCs w:val="21"/>
          <w:u w:val="single"/>
        </w:rPr>
        <w:t>日历</w:t>
      </w:r>
      <w:r>
        <w:rPr>
          <w:rFonts w:hint="eastAsia" w:ascii="宋体" w:hAnsi="宋体"/>
          <w:bCs/>
          <w:szCs w:val="21"/>
        </w:rPr>
        <w:t>天。</w:t>
      </w:r>
    </w:p>
    <w:p>
      <w:pPr>
        <w:spacing w:line="360" w:lineRule="auto"/>
        <w:ind w:firstLine="420" w:firstLineChars="200"/>
        <w:rPr>
          <w:rFonts w:ascii="宋体" w:hAnsi="宋体"/>
          <w:bCs/>
          <w:szCs w:val="21"/>
        </w:rPr>
      </w:pPr>
      <w:r>
        <w:rPr>
          <w:rFonts w:hint="eastAsia" w:ascii="宋体" w:hAnsi="宋体"/>
          <w:bCs/>
          <w:szCs w:val="21"/>
        </w:rPr>
        <w:t>计划开工日期：</w:t>
      </w:r>
      <w:r>
        <w:rPr>
          <w:rFonts w:hint="eastAsia" w:ascii="宋体" w:hAnsi="宋体"/>
          <w:bCs/>
          <w:szCs w:val="21"/>
          <w:u w:val="single"/>
        </w:rPr>
        <w:t></w:t>
      </w:r>
      <w:r>
        <w:rPr>
          <w:rFonts w:hint="eastAsia" w:ascii="宋体" w:hAnsi="宋体"/>
          <w:bCs/>
          <w:szCs w:val="21"/>
        </w:rPr>
        <w:t>年</w:t>
      </w:r>
      <w:r>
        <w:rPr>
          <w:rFonts w:hint="eastAsia" w:ascii="宋体" w:hAnsi="宋体"/>
          <w:bCs/>
          <w:szCs w:val="21"/>
          <w:u w:val="single"/>
        </w:rPr>
        <w:t></w:t>
      </w:r>
      <w:r>
        <w:rPr>
          <w:rFonts w:hint="eastAsia" w:ascii="宋体" w:hAnsi="宋体"/>
          <w:bCs/>
          <w:szCs w:val="21"/>
        </w:rPr>
        <w:t>月</w:t>
      </w:r>
      <w:r>
        <w:rPr>
          <w:rFonts w:hint="eastAsia" w:ascii="宋体" w:hAnsi="宋体"/>
          <w:bCs/>
          <w:szCs w:val="21"/>
          <w:u w:val="single"/>
        </w:rPr>
        <w:t></w:t>
      </w:r>
      <w:r>
        <w:rPr>
          <w:rFonts w:hint="eastAsia" w:ascii="宋体" w:hAnsi="宋体"/>
          <w:bCs/>
          <w:szCs w:val="21"/>
        </w:rPr>
        <w:t>日，实际开工日期以监理工程师签发的工程开工通知明确的开工日期为准。</w:t>
      </w:r>
    </w:p>
    <w:p>
      <w:pPr>
        <w:spacing w:line="360" w:lineRule="auto"/>
        <w:ind w:firstLine="420" w:firstLineChars="200"/>
        <w:rPr>
          <w:rFonts w:ascii="宋体" w:hAnsi="宋体"/>
          <w:bCs/>
          <w:szCs w:val="21"/>
        </w:rPr>
      </w:pPr>
      <w:r>
        <w:rPr>
          <w:rFonts w:hint="eastAsia" w:ascii="宋体" w:hAnsi="宋体"/>
          <w:bCs/>
          <w:szCs w:val="21"/>
        </w:rPr>
        <w:t>计划竣工日期：</w:t>
      </w:r>
      <w:r>
        <w:rPr>
          <w:rFonts w:hint="eastAsia" w:ascii="宋体" w:hAnsi="宋体"/>
          <w:bCs/>
          <w:szCs w:val="21"/>
          <w:u w:val="single"/>
        </w:rPr>
        <w:t></w:t>
      </w:r>
      <w:r>
        <w:rPr>
          <w:rFonts w:hint="eastAsia" w:ascii="宋体" w:hAnsi="宋体"/>
          <w:bCs/>
          <w:szCs w:val="21"/>
        </w:rPr>
        <w:t>年</w:t>
      </w:r>
      <w:r>
        <w:rPr>
          <w:rFonts w:hint="eastAsia" w:ascii="宋体" w:hAnsi="宋体"/>
          <w:bCs/>
          <w:szCs w:val="21"/>
          <w:u w:val="single"/>
        </w:rPr>
        <w:t></w:t>
      </w:r>
      <w:r>
        <w:rPr>
          <w:rFonts w:hint="eastAsia" w:ascii="宋体" w:hAnsi="宋体"/>
          <w:bCs/>
          <w:szCs w:val="21"/>
        </w:rPr>
        <w:t>月</w:t>
      </w:r>
      <w:r>
        <w:rPr>
          <w:rFonts w:hint="eastAsia" w:ascii="宋体" w:hAnsi="宋体"/>
          <w:bCs/>
          <w:szCs w:val="21"/>
          <w:u w:val="single"/>
        </w:rPr>
        <w:t></w:t>
      </w:r>
      <w:r>
        <w:rPr>
          <w:rFonts w:hint="eastAsia" w:ascii="宋体" w:hAnsi="宋体"/>
          <w:bCs/>
          <w:szCs w:val="21"/>
        </w:rPr>
        <w:t>日，实际竣工日期以工程竣工验收合格之日为准。</w:t>
      </w:r>
    </w:p>
    <w:p>
      <w:pPr>
        <w:spacing w:line="360" w:lineRule="auto"/>
        <w:ind w:firstLine="420" w:firstLineChars="200"/>
        <w:rPr>
          <w:rFonts w:ascii="宋体" w:hAnsi="宋体"/>
          <w:szCs w:val="21"/>
        </w:rPr>
      </w:pPr>
      <w:r>
        <w:rPr>
          <w:rFonts w:hint="eastAsia" w:ascii="宋体" w:hAnsi="宋体"/>
          <w:bCs/>
          <w:szCs w:val="21"/>
        </w:rPr>
        <w:t>工期总日历天数</w:t>
      </w:r>
      <w:r>
        <w:rPr>
          <w:rFonts w:hint="eastAsia" w:ascii="宋体" w:hAnsi="宋体"/>
          <w:bCs/>
          <w:szCs w:val="21"/>
          <w:u w:val="single"/>
        </w:rPr>
        <w:t></w:t>
      </w:r>
      <w:r>
        <w:rPr>
          <w:rFonts w:hint="eastAsia" w:ascii="宋体" w:hAnsi="宋体"/>
          <w:bCs/>
          <w:szCs w:val="21"/>
        </w:rPr>
        <w:t>天。工期总日历天数与根据前述计划开竣工日期计算的工期天数不一</w:t>
      </w:r>
      <w:r>
        <w:rPr>
          <w:rFonts w:hint="eastAsia" w:ascii="宋体" w:hAnsi="宋体"/>
          <w:szCs w:val="21"/>
        </w:rPr>
        <w:t>致的，以工期总日历天数为准。</w:t>
      </w:r>
    </w:p>
    <w:p>
      <w:pPr>
        <w:pStyle w:val="7"/>
        <w:spacing w:before="120" w:after="120" w:line="360" w:lineRule="auto"/>
        <w:ind w:firstLine="422" w:firstLineChars="200"/>
        <w:rPr>
          <w:sz w:val="21"/>
          <w:szCs w:val="21"/>
        </w:rPr>
      </w:pPr>
      <w:bookmarkStart w:id="458" w:name="_Toc532375575"/>
      <w:bookmarkStart w:id="459" w:name="_Toc532377168"/>
      <w:bookmarkStart w:id="460" w:name="_Toc351203483"/>
      <w:r>
        <w:rPr>
          <w:rFonts w:hint="eastAsia"/>
          <w:sz w:val="21"/>
          <w:szCs w:val="21"/>
        </w:rPr>
        <w:t>三、质量标准</w:t>
      </w:r>
      <w:bookmarkEnd w:id="458"/>
      <w:bookmarkEnd w:id="459"/>
      <w:bookmarkEnd w:id="460"/>
    </w:p>
    <w:p>
      <w:pPr>
        <w:snapToGrid w:val="0"/>
        <w:spacing w:line="360" w:lineRule="auto"/>
        <w:ind w:firstLine="420" w:firstLineChars="200"/>
        <w:rPr>
          <w:rFonts w:ascii="宋体" w:hAnsi="宋体"/>
          <w:szCs w:val="21"/>
        </w:rPr>
      </w:pPr>
      <w:r>
        <w:rPr>
          <w:rFonts w:hint="eastAsia" w:ascii="宋体" w:hAnsi="宋体"/>
          <w:szCs w:val="21"/>
        </w:rPr>
        <w:t>工程质量符合</w:t>
      </w:r>
      <w:r>
        <w:rPr>
          <w:rFonts w:hint="eastAsia" w:ascii="宋体" w:hAnsi="宋体"/>
          <w:szCs w:val="21"/>
          <w:u w:val="single"/>
        </w:rPr>
        <w:t>国家有关施工质量验收规范和标准要求，达到合格</w:t>
      </w:r>
      <w:r>
        <w:rPr>
          <w:rFonts w:hint="eastAsia" w:ascii="宋体" w:hAnsi="宋体"/>
          <w:szCs w:val="21"/>
        </w:rPr>
        <w:t>标准。</w:t>
      </w:r>
    </w:p>
    <w:p>
      <w:pPr>
        <w:pStyle w:val="7"/>
        <w:spacing w:before="120" w:after="120" w:line="360" w:lineRule="auto"/>
        <w:ind w:firstLine="422" w:firstLineChars="200"/>
        <w:rPr>
          <w:sz w:val="21"/>
          <w:szCs w:val="21"/>
        </w:rPr>
      </w:pPr>
      <w:bookmarkStart w:id="461" w:name="_Toc532377169"/>
      <w:bookmarkStart w:id="462" w:name="_Toc532375576"/>
      <w:bookmarkStart w:id="463" w:name="_Toc351203484"/>
      <w:r>
        <w:rPr>
          <w:rFonts w:hint="eastAsia"/>
          <w:sz w:val="21"/>
          <w:szCs w:val="21"/>
        </w:rPr>
        <w:t>四、签约合同价与合同价格形式</w:t>
      </w:r>
      <w:bookmarkEnd w:id="461"/>
      <w:bookmarkEnd w:id="462"/>
      <w:bookmarkEnd w:id="463"/>
      <w:r>
        <w:rPr>
          <w:rFonts w:hint="eastAsia"/>
          <w:sz w:val="21"/>
          <w:szCs w:val="21"/>
        </w:rPr>
        <w:tab/>
      </w:r>
    </w:p>
    <w:p>
      <w:pPr>
        <w:spacing w:line="360" w:lineRule="auto"/>
        <w:ind w:firstLine="420" w:firstLineChars="200"/>
        <w:rPr>
          <w:rFonts w:ascii="宋体" w:hAnsi="宋体"/>
          <w:szCs w:val="21"/>
        </w:rPr>
      </w:pPr>
      <w:r>
        <w:rPr>
          <w:rFonts w:hint="eastAsia" w:ascii="宋体" w:hAnsi="宋体"/>
          <w:szCs w:val="21"/>
        </w:rPr>
        <w:t>1.承包人投标函中承诺的中标价为：</w:t>
      </w:r>
    </w:p>
    <w:p>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cs="宋体"/>
          <w:szCs w:val="21"/>
        </w:rPr>
        <w:t>¥</w:t>
      </w:r>
      <w:r>
        <w:rPr>
          <w:rFonts w:hint="eastAsia" w:ascii="宋体" w:hAnsi="宋体"/>
          <w:szCs w:val="21"/>
          <w:u w:val="single"/>
        </w:rPr>
        <w:t xml:space="preserve">            </w:t>
      </w:r>
      <w:r>
        <w:rPr>
          <w:rFonts w:hint="eastAsia" w:ascii="宋体" w:hAnsi="宋体"/>
          <w:szCs w:val="21"/>
        </w:rPr>
        <w:t>元）；</w:t>
      </w:r>
    </w:p>
    <w:p>
      <w:pPr>
        <w:spacing w:line="360" w:lineRule="auto"/>
        <w:ind w:firstLine="420" w:firstLineChars="200"/>
        <w:rPr>
          <w:rFonts w:ascii="宋体" w:hAnsi="宋体"/>
          <w:szCs w:val="21"/>
        </w:rPr>
      </w:pPr>
      <w:r>
        <w:rPr>
          <w:rFonts w:hint="eastAsia" w:ascii="宋体" w:hAnsi="宋体"/>
          <w:szCs w:val="21"/>
        </w:rPr>
        <w:t>2.签约合同价为：</w:t>
      </w:r>
    </w:p>
    <w:p>
      <w:pPr>
        <w:snapToGrid w:val="0"/>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hint="eastAsia" w:ascii="宋体" w:hAnsi="宋体" w:cs="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napToGrid w:val="0"/>
        <w:spacing w:line="360" w:lineRule="auto"/>
        <w:ind w:firstLine="420" w:firstLineChars="200"/>
        <w:rPr>
          <w:rFonts w:ascii="宋体" w:hAnsi="宋体"/>
          <w:szCs w:val="21"/>
        </w:rPr>
      </w:pPr>
      <w:r>
        <w:rPr>
          <w:rFonts w:hint="eastAsia" w:ascii="宋体" w:hAnsi="宋体"/>
          <w:szCs w:val="21"/>
        </w:rPr>
        <w:t>其中：</w:t>
      </w:r>
    </w:p>
    <w:p>
      <w:pPr>
        <w:spacing w:line="360" w:lineRule="auto"/>
        <w:ind w:firstLine="420" w:firstLineChars="200"/>
        <w:rPr>
          <w:rFonts w:ascii="宋体" w:hAnsi="宋体"/>
          <w:szCs w:val="21"/>
        </w:rPr>
      </w:pPr>
      <w:r>
        <w:rPr>
          <w:rFonts w:hint="eastAsia" w:ascii="宋体" w:hAnsi="宋体"/>
          <w:szCs w:val="21"/>
        </w:rPr>
        <w:t>（1）安全文明施工费：</w:t>
      </w:r>
    </w:p>
    <w:p>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hint="eastAsia" w:ascii="宋体" w:hAnsi="宋体" w:cs="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（2）材料和工程设备暂估价金额：</w:t>
      </w:r>
    </w:p>
    <w:p>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hint="eastAsia" w:ascii="宋体" w:hAnsi="宋体" w:cs="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（3）专业工程暂估价金额：</w:t>
      </w:r>
    </w:p>
    <w:p>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hint="eastAsia" w:ascii="宋体" w:hAnsi="宋体" w:cs="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（4）暂列金额：</w:t>
      </w:r>
    </w:p>
    <w:p>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hint="eastAsia" w:ascii="宋体" w:hAnsi="宋体" w:cs="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（5）人工费（工资款）</w:t>
      </w:r>
    </w:p>
    <w:p>
      <w:pPr>
        <w:spacing w:line="360" w:lineRule="auto"/>
        <w:ind w:firstLine="420" w:firstLineChars="200"/>
        <w:rPr>
          <w:rFonts w:ascii="宋体" w:hAnsi="宋体"/>
          <w:szCs w:val="21"/>
        </w:rPr>
      </w:pPr>
      <w:r>
        <w:rPr>
          <w:rFonts w:hint="eastAsia" w:ascii="宋体" w:hAnsi="宋体"/>
          <w:szCs w:val="21"/>
        </w:rPr>
        <w:t>该项目实行人工费（工资款）与其他工程款分账管理，发包人将应付工程款中的人工费（工资款），以不低于已完成合同价款的</w:t>
      </w:r>
      <w:r>
        <w:rPr>
          <w:rFonts w:hint="eastAsia" w:ascii="宋体" w:hAnsi="宋体"/>
          <w:szCs w:val="21"/>
          <w:u w:val="single"/>
        </w:rPr>
        <w:t xml:space="preserve">  \  </w:t>
      </w:r>
      <w:r>
        <w:rPr>
          <w:rFonts w:hint="eastAsia" w:ascii="宋体" w:hAnsi="宋体"/>
          <w:szCs w:val="21"/>
        </w:rPr>
        <w:t>（不低于25%），农民工工资单独支付至承包人设立的农民工工资专用账户。</w:t>
      </w:r>
    </w:p>
    <w:p>
      <w:pPr>
        <w:spacing w:line="360" w:lineRule="auto"/>
        <w:ind w:firstLine="420" w:firstLineChars="200"/>
        <w:rPr>
          <w:rFonts w:ascii="宋体" w:hAnsi="宋体"/>
          <w:szCs w:val="21"/>
        </w:rPr>
      </w:pPr>
      <w:r>
        <w:rPr>
          <w:rFonts w:hint="eastAsia" w:ascii="宋体" w:hAnsi="宋体"/>
          <w:szCs w:val="21"/>
        </w:rPr>
        <w:t>3.合同价格形式：</w:t>
      </w:r>
      <w:r>
        <w:rPr>
          <w:rFonts w:ascii="宋体" w:hAnsi="宋体"/>
          <w:szCs w:val="21"/>
          <w:u w:val="single"/>
        </w:rPr>
        <w:t xml:space="preserve"> </w:t>
      </w:r>
      <w:r>
        <w:rPr>
          <w:rFonts w:hint="eastAsia" w:ascii="宋体" w:hAnsi="宋体"/>
          <w:szCs w:val="21"/>
          <w:u w:val="single"/>
        </w:rPr>
        <w:t>固定单价</w:t>
      </w:r>
      <w:r>
        <w:rPr>
          <w:rFonts w:ascii="宋体" w:hAnsi="宋体"/>
          <w:szCs w:val="21"/>
          <w:u w:val="single"/>
        </w:rPr>
        <w:t xml:space="preserve">  </w:t>
      </w:r>
      <w:r>
        <w:rPr>
          <w:rFonts w:hint="eastAsia" w:ascii="宋体" w:hAnsi="宋体"/>
          <w:szCs w:val="21"/>
        </w:rPr>
        <w:t>。</w:t>
      </w:r>
    </w:p>
    <w:p>
      <w:pPr>
        <w:pStyle w:val="7"/>
        <w:spacing w:before="120" w:after="120" w:line="360" w:lineRule="auto"/>
        <w:ind w:firstLine="422" w:firstLineChars="200"/>
        <w:rPr>
          <w:sz w:val="21"/>
          <w:szCs w:val="21"/>
        </w:rPr>
      </w:pPr>
      <w:bookmarkStart w:id="464" w:name="_Toc351203485"/>
      <w:bookmarkStart w:id="465" w:name="_Toc532377170"/>
      <w:bookmarkStart w:id="466" w:name="_Toc532375577"/>
      <w:r>
        <w:rPr>
          <w:rFonts w:hint="eastAsia"/>
          <w:sz w:val="21"/>
          <w:szCs w:val="21"/>
        </w:rPr>
        <w:t>五、</w:t>
      </w:r>
      <w:bookmarkEnd w:id="464"/>
      <w:r>
        <w:rPr>
          <w:rFonts w:hint="eastAsia"/>
          <w:sz w:val="21"/>
          <w:szCs w:val="21"/>
        </w:rPr>
        <w:t>项目经理及技术负责人</w:t>
      </w:r>
      <w:bookmarkEnd w:id="465"/>
      <w:bookmarkEnd w:id="466"/>
    </w:p>
    <w:p>
      <w:pPr>
        <w:spacing w:line="360" w:lineRule="auto"/>
        <w:ind w:firstLine="420" w:firstLineChars="200"/>
        <w:rPr>
          <w:rFonts w:ascii="宋体" w:hAnsi="宋体"/>
          <w:szCs w:val="21"/>
        </w:rPr>
      </w:pPr>
      <w:r>
        <w:rPr>
          <w:rFonts w:hint="eastAsia" w:ascii="宋体" w:hAnsi="宋体"/>
          <w:szCs w:val="21"/>
        </w:rPr>
        <w:t>承包人投标文件中承诺的项目经理：</w:t>
      </w:r>
    </w:p>
    <w:p>
      <w:pPr>
        <w:spacing w:line="360" w:lineRule="auto"/>
        <w:ind w:firstLine="420" w:firstLineChars="200"/>
        <w:rPr>
          <w:rFonts w:ascii="宋体" w:hAnsi="宋体"/>
          <w:szCs w:val="21"/>
        </w:rPr>
      </w:pPr>
      <w:r>
        <w:rPr>
          <w:rFonts w:hint="eastAsia" w:ascii="宋体" w:hAnsi="宋体"/>
          <w:szCs w:val="21"/>
        </w:rPr>
        <w:t>姓名：</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建造师</w:t>
      </w:r>
      <w:r>
        <w:rPr>
          <w:rFonts w:ascii="宋体" w:hAnsi="宋体"/>
          <w:szCs w:val="21"/>
        </w:rPr>
        <w:t>注册证书号</w:t>
      </w:r>
      <w:r>
        <w:rPr>
          <w:rFonts w:hint="eastAsia"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承包人投标文件中承诺的技术负责人：</w:t>
      </w:r>
    </w:p>
    <w:p>
      <w:pPr>
        <w:spacing w:line="360" w:lineRule="auto"/>
        <w:ind w:firstLine="420" w:firstLineChars="200"/>
        <w:rPr>
          <w:rFonts w:ascii="宋体" w:hAnsi="宋体"/>
          <w:szCs w:val="21"/>
        </w:rPr>
      </w:pPr>
      <w:r>
        <w:rPr>
          <w:rFonts w:hint="eastAsia" w:ascii="宋体" w:hAnsi="宋体"/>
          <w:szCs w:val="21"/>
        </w:rPr>
        <w:t>姓名：</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pStyle w:val="2"/>
        <w:spacing w:line="360" w:lineRule="auto"/>
        <w:rPr>
          <w:rFonts w:ascii="宋体" w:hAnsi="宋体"/>
          <w:szCs w:val="21"/>
        </w:rPr>
      </w:pPr>
      <w:r>
        <w:rPr>
          <w:rFonts w:hint="eastAsia" w:ascii="宋体" w:hAnsi="宋体"/>
          <w:szCs w:val="21"/>
        </w:rPr>
        <w:t xml:space="preserve">    证书名称</w:t>
      </w:r>
      <w:r>
        <w:rPr>
          <w:rFonts w:ascii="宋体" w:hAnsi="宋体"/>
          <w:szCs w:val="21"/>
        </w:rPr>
        <w:t>及号码：</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pPr>
        <w:pStyle w:val="7"/>
        <w:spacing w:before="120" w:after="120" w:line="360" w:lineRule="auto"/>
        <w:ind w:firstLine="422" w:firstLineChars="200"/>
        <w:rPr>
          <w:sz w:val="21"/>
          <w:szCs w:val="21"/>
        </w:rPr>
      </w:pPr>
      <w:bookmarkStart w:id="467" w:name="_Toc351203486"/>
      <w:bookmarkStart w:id="468" w:name="_Toc532377171"/>
      <w:bookmarkStart w:id="469" w:name="_Toc532375578"/>
      <w:r>
        <w:rPr>
          <w:rFonts w:hint="eastAsia"/>
          <w:sz w:val="21"/>
          <w:szCs w:val="21"/>
        </w:rPr>
        <w:t>六、合同文件构成</w:t>
      </w:r>
      <w:bookmarkEnd w:id="467"/>
      <w:bookmarkEnd w:id="468"/>
      <w:bookmarkEnd w:id="469"/>
    </w:p>
    <w:p>
      <w:pPr>
        <w:spacing w:line="360" w:lineRule="auto"/>
        <w:ind w:firstLine="420" w:firstLineChars="200"/>
        <w:rPr>
          <w:rFonts w:ascii="宋体" w:hAnsi="宋体"/>
          <w:bCs/>
          <w:szCs w:val="21"/>
        </w:rPr>
      </w:pPr>
      <w:r>
        <w:rPr>
          <w:rFonts w:hint="eastAsia" w:ascii="宋体" w:hAnsi="宋体"/>
          <w:bCs/>
          <w:szCs w:val="21"/>
        </w:rPr>
        <w:t>合同由以下文件构成：</w:t>
      </w:r>
    </w:p>
    <w:p>
      <w:pPr>
        <w:spacing w:line="360" w:lineRule="auto"/>
        <w:ind w:firstLine="420" w:firstLineChars="200"/>
        <w:rPr>
          <w:rFonts w:ascii="宋体" w:hAnsi="宋体"/>
          <w:szCs w:val="21"/>
        </w:rPr>
      </w:pPr>
      <w:r>
        <w:rPr>
          <w:rFonts w:hint="eastAsia" w:ascii="宋体" w:hAnsi="宋体"/>
          <w:szCs w:val="21"/>
        </w:rPr>
        <w:t>（1）合同协议书；</w:t>
      </w:r>
    </w:p>
    <w:p>
      <w:pPr>
        <w:spacing w:line="360" w:lineRule="auto"/>
        <w:ind w:firstLine="420" w:firstLineChars="200"/>
        <w:rPr>
          <w:rFonts w:ascii="宋体" w:hAnsi="宋体"/>
          <w:szCs w:val="21"/>
        </w:rPr>
      </w:pPr>
      <w:r>
        <w:rPr>
          <w:rFonts w:hint="eastAsia" w:ascii="宋体" w:hAnsi="宋体"/>
          <w:szCs w:val="21"/>
        </w:rPr>
        <w:t>（2）中标通知书；</w:t>
      </w:r>
    </w:p>
    <w:p>
      <w:pPr>
        <w:spacing w:line="360" w:lineRule="auto"/>
        <w:ind w:firstLine="420" w:firstLineChars="200"/>
        <w:rPr>
          <w:rFonts w:ascii="宋体" w:hAnsi="宋体"/>
          <w:szCs w:val="21"/>
        </w:rPr>
      </w:pPr>
      <w:r>
        <w:rPr>
          <w:rFonts w:hint="eastAsia" w:ascii="宋体" w:hAnsi="宋体"/>
          <w:szCs w:val="21"/>
        </w:rPr>
        <w:t>（3）投标函及投标函附录；</w:t>
      </w:r>
    </w:p>
    <w:p>
      <w:pPr>
        <w:spacing w:line="360" w:lineRule="auto"/>
        <w:ind w:firstLine="420" w:firstLineChars="200"/>
        <w:rPr>
          <w:rFonts w:ascii="宋体" w:hAnsi="宋体"/>
          <w:szCs w:val="21"/>
        </w:rPr>
      </w:pPr>
      <w:r>
        <w:rPr>
          <w:rFonts w:hint="eastAsia" w:ascii="宋体" w:hAnsi="宋体"/>
          <w:szCs w:val="21"/>
        </w:rPr>
        <w:t>（4）专用合同条款及其附件；</w:t>
      </w:r>
    </w:p>
    <w:p>
      <w:pPr>
        <w:spacing w:line="360" w:lineRule="auto"/>
        <w:ind w:firstLine="420" w:firstLineChars="200"/>
        <w:rPr>
          <w:rFonts w:ascii="宋体" w:hAnsi="宋体"/>
          <w:szCs w:val="21"/>
        </w:rPr>
      </w:pPr>
      <w:r>
        <w:rPr>
          <w:rFonts w:hint="eastAsia" w:ascii="宋体" w:hAnsi="宋体"/>
          <w:szCs w:val="21"/>
        </w:rPr>
        <w:t>（5）通用合同条款；</w:t>
      </w:r>
    </w:p>
    <w:p>
      <w:pPr>
        <w:spacing w:line="360" w:lineRule="auto"/>
        <w:ind w:firstLine="420" w:firstLineChars="200"/>
        <w:rPr>
          <w:rFonts w:ascii="宋体" w:hAnsi="宋体"/>
          <w:szCs w:val="21"/>
        </w:rPr>
      </w:pPr>
      <w:r>
        <w:rPr>
          <w:rFonts w:hint="eastAsia" w:ascii="宋体" w:hAnsi="宋体"/>
          <w:szCs w:val="21"/>
        </w:rPr>
        <w:t>（6）投标文件（投标函及投标函附录除外）；</w:t>
      </w:r>
    </w:p>
    <w:p>
      <w:pPr>
        <w:spacing w:line="360" w:lineRule="auto"/>
        <w:ind w:firstLine="420" w:firstLineChars="200"/>
        <w:rPr>
          <w:rFonts w:ascii="宋体" w:hAnsi="宋体"/>
          <w:szCs w:val="21"/>
        </w:rPr>
      </w:pPr>
      <w:r>
        <w:rPr>
          <w:rFonts w:hint="eastAsia" w:ascii="宋体" w:hAnsi="宋体"/>
          <w:szCs w:val="21"/>
        </w:rPr>
        <w:t>（7）招标文件及补遗文件；</w:t>
      </w:r>
    </w:p>
    <w:p>
      <w:pPr>
        <w:spacing w:line="360" w:lineRule="auto"/>
        <w:ind w:firstLine="420" w:firstLineChars="200"/>
        <w:rPr>
          <w:rFonts w:ascii="宋体" w:hAnsi="宋体"/>
          <w:szCs w:val="21"/>
        </w:rPr>
      </w:pPr>
      <w:r>
        <w:rPr>
          <w:rFonts w:hint="eastAsia" w:ascii="宋体" w:hAnsi="宋体"/>
          <w:szCs w:val="21"/>
        </w:rPr>
        <w:t>（8）技术标准和要求；</w:t>
      </w:r>
    </w:p>
    <w:p>
      <w:pPr>
        <w:spacing w:line="360" w:lineRule="auto"/>
        <w:ind w:firstLine="420" w:firstLineChars="200"/>
        <w:rPr>
          <w:rFonts w:ascii="宋体" w:hAnsi="宋体"/>
          <w:szCs w:val="21"/>
        </w:rPr>
      </w:pPr>
      <w:r>
        <w:rPr>
          <w:rFonts w:hint="eastAsia" w:ascii="宋体" w:hAnsi="宋体"/>
          <w:szCs w:val="21"/>
        </w:rPr>
        <w:t>（9）图纸；</w:t>
      </w:r>
    </w:p>
    <w:p>
      <w:pPr>
        <w:spacing w:line="360" w:lineRule="auto"/>
        <w:ind w:firstLine="420" w:firstLineChars="200"/>
        <w:rPr>
          <w:rFonts w:ascii="宋体" w:hAnsi="宋体"/>
          <w:szCs w:val="21"/>
        </w:rPr>
      </w:pPr>
      <w:r>
        <w:rPr>
          <w:rFonts w:hint="eastAsia" w:ascii="宋体" w:hAnsi="宋体"/>
          <w:szCs w:val="21"/>
        </w:rPr>
        <w:t>（10）其他合同文件。</w:t>
      </w:r>
    </w:p>
    <w:p>
      <w:pPr>
        <w:spacing w:line="360" w:lineRule="auto"/>
        <w:ind w:firstLine="420" w:firstLineChars="200"/>
        <w:rPr>
          <w:rFonts w:ascii="宋体" w:hAnsi="宋体"/>
          <w:szCs w:val="21"/>
        </w:rPr>
      </w:pPr>
      <w:r>
        <w:rPr>
          <w:rFonts w:hint="eastAsia" w:ascii="宋体" w:hAnsi="宋体"/>
          <w:szCs w:val="21"/>
        </w:rPr>
        <w:t>在合同订立、履行过程中形成的与合同有关的书面形式的文件均构成合同文件组成部分。</w:t>
      </w:r>
    </w:p>
    <w:p>
      <w:pPr>
        <w:spacing w:line="360" w:lineRule="auto"/>
        <w:ind w:firstLine="420" w:firstLineChars="200"/>
        <w:rPr>
          <w:rFonts w:ascii="宋体" w:hAnsi="宋体"/>
          <w:szCs w:val="21"/>
        </w:rPr>
      </w:pPr>
      <w:r>
        <w:rPr>
          <w:rFonts w:hint="eastAsia" w:ascii="宋体" w:hAnsi="宋体"/>
          <w:szCs w:val="21"/>
        </w:rPr>
        <w:t>上述各项合同文件包括合同当事人就该项合同文件所作出的补充和修改，属于同一类内容的文件，应以最新签署的为准。专用合同条款及其附件须经合同当事人签字或盖章。</w:t>
      </w:r>
    </w:p>
    <w:p>
      <w:pPr>
        <w:pStyle w:val="7"/>
        <w:spacing w:before="120" w:after="120" w:line="360" w:lineRule="auto"/>
        <w:ind w:firstLine="422" w:firstLineChars="200"/>
        <w:rPr>
          <w:sz w:val="21"/>
          <w:szCs w:val="21"/>
        </w:rPr>
      </w:pPr>
      <w:bookmarkStart w:id="470" w:name="_Toc532375579"/>
      <w:bookmarkStart w:id="471" w:name="_Toc532377172"/>
      <w:bookmarkStart w:id="472" w:name="_Toc351203487"/>
      <w:r>
        <w:rPr>
          <w:rFonts w:hint="eastAsia"/>
          <w:sz w:val="21"/>
          <w:szCs w:val="21"/>
        </w:rPr>
        <w:t>七、承诺</w:t>
      </w:r>
      <w:bookmarkEnd w:id="470"/>
      <w:bookmarkEnd w:id="471"/>
      <w:bookmarkEnd w:id="472"/>
    </w:p>
    <w:p>
      <w:pPr>
        <w:spacing w:line="360" w:lineRule="auto"/>
        <w:ind w:firstLine="420" w:firstLineChars="200"/>
        <w:rPr>
          <w:rFonts w:ascii="宋体" w:hAnsi="宋体"/>
          <w:bCs/>
          <w:szCs w:val="21"/>
        </w:rPr>
      </w:pPr>
      <w:r>
        <w:rPr>
          <w:rFonts w:hint="eastAsia" w:ascii="宋体" w:hAnsi="宋体"/>
          <w:bCs/>
          <w:szCs w:val="21"/>
        </w:rPr>
        <w:t>1.发包人承诺按照法律规定履行项目审批手续、筹集工程建设资金并按照合同约定的期限和方式支付合同价款。</w:t>
      </w:r>
    </w:p>
    <w:p>
      <w:pPr>
        <w:spacing w:line="360" w:lineRule="auto"/>
        <w:ind w:firstLine="420" w:firstLineChars="200"/>
        <w:rPr>
          <w:rFonts w:ascii="宋体" w:hAnsi="宋体"/>
          <w:bCs/>
          <w:szCs w:val="21"/>
        </w:rPr>
      </w:pPr>
      <w:r>
        <w:rPr>
          <w:rFonts w:hint="eastAsia" w:ascii="宋体" w:hAnsi="宋体"/>
          <w:bCs/>
          <w:szCs w:val="21"/>
        </w:rPr>
        <w:t>2.</w:t>
      </w:r>
      <w:r>
        <w:rPr>
          <w:rFonts w:hint="eastAsia" w:ascii="宋体" w:hAnsi="宋体"/>
          <w:szCs w:val="21"/>
        </w:rPr>
        <w:t>承包人承诺按照法律规定及合同约定组织完成工程施工，确保工程质量和安全，不进行转包及违法分包，并在缺陷责任期及保修期内承担相应的工程维修责任</w:t>
      </w:r>
      <w:r>
        <w:rPr>
          <w:rFonts w:hint="eastAsia" w:ascii="宋体" w:hAnsi="宋体"/>
          <w:bCs/>
          <w:szCs w:val="21"/>
        </w:rPr>
        <w:t>。</w:t>
      </w:r>
    </w:p>
    <w:p>
      <w:pPr>
        <w:spacing w:line="360" w:lineRule="auto"/>
        <w:ind w:firstLine="420" w:firstLineChars="200"/>
        <w:rPr>
          <w:rFonts w:ascii="宋体" w:hAnsi="宋体"/>
          <w:bCs/>
          <w:szCs w:val="21"/>
        </w:rPr>
      </w:pPr>
      <w:r>
        <w:rPr>
          <w:rFonts w:hint="eastAsia" w:ascii="宋体" w:hAnsi="宋体"/>
          <w:bCs/>
          <w:szCs w:val="21"/>
        </w:rPr>
        <w:t>3.发包人和承包人通过招投标形式签订合同的，双方理解并承诺不再就同一工程另行签订与合同实质性内容相背离的协议。</w:t>
      </w:r>
    </w:p>
    <w:p>
      <w:pPr>
        <w:pStyle w:val="7"/>
        <w:spacing w:before="120" w:after="120" w:line="360" w:lineRule="auto"/>
        <w:ind w:firstLine="422" w:firstLineChars="200"/>
        <w:rPr>
          <w:sz w:val="21"/>
          <w:szCs w:val="21"/>
        </w:rPr>
      </w:pPr>
      <w:bookmarkStart w:id="473" w:name="_Toc532375580"/>
      <w:bookmarkStart w:id="474" w:name="_Toc532377173"/>
      <w:bookmarkStart w:id="475" w:name="_Toc351203488"/>
      <w:r>
        <w:rPr>
          <w:rFonts w:hint="eastAsia"/>
          <w:sz w:val="21"/>
          <w:szCs w:val="21"/>
        </w:rPr>
        <w:t>八、词语含义</w:t>
      </w:r>
      <w:bookmarkEnd w:id="473"/>
      <w:bookmarkEnd w:id="474"/>
      <w:bookmarkEnd w:id="475"/>
    </w:p>
    <w:p>
      <w:pPr>
        <w:spacing w:line="360" w:lineRule="auto"/>
        <w:ind w:firstLine="420" w:firstLineChars="200"/>
        <w:rPr>
          <w:rFonts w:ascii="宋体" w:hAnsi="宋体"/>
          <w:bCs/>
          <w:szCs w:val="21"/>
        </w:rPr>
      </w:pPr>
      <w:r>
        <w:rPr>
          <w:rFonts w:hint="eastAsia" w:ascii="宋体" w:hAnsi="宋体"/>
          <w:bCs/>
          <w:szCs w:val="21"/>
        </w:rPr>
        <w:t>本协议书中词语含义与专用合同条款及通用合同条款中赋予的含义相同。</w:t>
      </w:r>
    </w:p>
    <w:p>
      <w:pPr>
        <w:pStyle w:val="7"/>
        <w:spacing w:before="120" w:after="120" w:line="360" w:lineRule="auto"/>
        <w:ind w:firstLine="422" w:firstLineChars="200"/>
        <w:rPr>
          <w:sz w:val="21"/>
          <w:szCs w:val="21"/>
        </w:rPr>
      </w:pPr>
      <w:bookmarkStart w:id="476" w:name="_Toc532377174"/>
      <w:bookmarkStart w:id="477" w:name="_Toc532375581"/>
      <w:r>
        <w:rPr>
          <w:rFonts w:hint="eastAsia"/>
          <w:sz w:val="21"/>
          <w:szCs w:val="21"/>
        </w:rPr>
        <w:t>九、签订时间</w:t>
      </w:r>
      <w:bookmarkEnd w:id="476"/>
      <w:bookmarkEnd w:id="477"/>
    </w:p>
    <w:p>
      <w:pPr>
        <w:spacing w:line="360" w:lineRule="auto"/>
        <w:ind w:firstLine="420" w:firstLineChars="200"/>
        <w:rPr>
          <w:rFonts w:ascii="宋体" w:hAnsi="宋体"/>
          <w:szCs w:val="21"/>
        </w:rPr>
      </w:pPr>
      <w:r>
        <w:rPr>
          <w:rFonts w:hint="eastAsia" w:ascii="宋体" w:hAnsi="宋体"/>
          <w:bCs/>
          <w:szCs w:val="21"/>
        </w:rPr>
        <w:t>合同于  年  月  日签订。</w:t>
      </w:r>
    </w:p>
    <w:p>
      <w:pPr>
        <w:pStyle w:val="7"/>
        <w:spacing w:before="120" w:after="120" w:line="400" w:lineRule="exact"/>
        <w:ind w:firstLine="422" w:firstLineChars="200"/>
        <w:rPr>
          <w:sz w:val="21"/>
          <w:szCs w:val="21"/>
        </w:rPr>
      </w:pPr>
      <w:bookmarkStart w:id="478" w:name="_Toc351203489"/>
      <w:bookmarkStart w:id="479" w:name="_Toc532377175"/>
      <w:bookmarkStart w:id="480" w:name="_Toc532375582"/>
      <w:r>
        <w:rPr>
          <w:rFonts w:hint="eastAsia"/>
          <w:sz w:val="21"/>
          <w:szCs w:val="21"/>
        </w:rPr>
        <w:t>十、</w:t>
      </w:r>
      <w:bookmarkEnd w:id="478"/>
      <w:bookmarkStart w:id="481" w:name="_Toc351203490"/>
      <w:r>
        <w:rPr>
          <w:rFonts w:hint="eastAsia"/>
          <w:sz w:val="21"/>
          <w:szCs w:val="21"/>
        </w:rPr>
        <w:t>签订地点</w:t>
      </w:r>
      <w:bookmarkEnd w:id="479"/>
      <w:bookmarkEnd w:id="480"/>
      <w:bookmarkEnd w:id="481"/>
    </w:p>
    <w:p>
      <w:pPr>
        <w:spacing w:line="400" w:lineRule="exact"/>
        <w:ind w:firstLine="420" w:firstLineChars="200"/>
        <w:rPr>
          <w:rFonts w:ascii="宋体" w:hAnsi="宋体"/>
          <w:bCs/>
          <w:szCs w:val="21"/>
        </w:rPr>
      </w:pPr>
      <w:r>
        <w:rPr>
          <w:rFonts w:hint="eastAsia" w:ascii="宋体" w:hAnsi="宋体"/>
          <w:bCs/>
          <w:szCs w:val="21"/>
        </w:rPr>
        <w:t>合同在签订。</w:t>
      </w:r>
    </w:p>
    <w:p>
      <w:pPr>
        <w:pStyle w:val="7"/>
        <w:spacing w:before="120" w:after="120" w:line="400" w:lineRule="exact"/>
        <w:ind w:firstLine="422" w:firstLineChars="200"/>
        <w:rPr>
          <w:sz w:val="21"/>
          <w:szCs w:val="21"/>
        </w:rPr>
      </w:pPr>
      <w:bookmarkStart w:id="482" w:name="_Toc532377176"/>
      <w:bookmarkStart w:id="483" w:name="_Toc351203491"/>
      <w:bookmarkStart w:id="484" w:name="_Toc532375583"/>
      <w:r>
        <w:rPr>
          <w:rFonts w:hint="eastAsia"/>
          <w:sz w:val="21"/>
          <w:szCs w:val="21"/>
        </w:rPr>
        <w:t>十一、补充协议</w:t>
      </w:r>
      <w:bookmarkEnd w:id="482"/>
      <w:bookmarkEnd w:id="483"/>
      <w:bookmarkEnd w:id="484"/>
    </w:p>
    <w:p>
      <w:pPr>
        <w:spacing w:line="400" w:lineRule="exact"/>
        <w:ind w:firstLine="420" w:firstLineChars="200"/>
        <w:rPr>
          <w:rFonts w:ascii="宋体" w:hAnsi="宋体"/>
          <w:b/>
          <w:bCs/>
          <w:szCs w:val="21"/>
        </w:rPr>
      </w:pPr>
      <w:r>
        <w:rPr>
          <w:rFonts w:hint="eastAsia" w:ascii="宋体" w:hAnsi="宋体"/>
          <w:bCs/>
          <w:szCs w:val="21"/>
        </w:rPr>
        <w:t>合同未尽事宜，合同当事人另行签订补充协议，补充协议是合同的组成部分。</w:t>
      </w:r>
    </w:p>
    <w:p>
      <w:pPr>
        <w:pStyle w:val="7"/>
        <w:spacing w:before="120" w:after="120" w:line="400" w:lineRule="exact"/>
        <w:ind w:firstLine="422" w:firstLineChars="200"/>
        <w:rPr>
          <w:sz w:val="21"/>
          <w:szCs w:val="21"/>
        </w:rPr>
      </w:pPr>
      <w:bookmarkStart w:id="485" w:name="_Toc532377177"/>
      <w:bookmarkStart w:id="486" w:name="_Toc532375584"/>
      <w:bookmarkStart w:id="487" w:name="_Toc351203492"/>
      <w:r>
        <w:rPr>
          <w:rFonts w:hint="eastAsia"/>
          <w:sz w:val="21"/>
          <w:szCs w:val="21"/>
        </w:rPr>
        <w:t>十二、合同生效</w:t>
      </w:r>
      <w:bookmarkEnd w:id="485"/>
      <w:bookmarkEnd w:id="486"/>
      <w:bookmarkEnd w:id="487"/>
    </w:p>
    <w:p>
      <w:pPr>
        <w:spacing w:line="400" w:lineRule="exact"/>
        <w:ind w:firstLine="420" w:firstLineChars="200"/>
        <w:rPr>
          <w:rFonts w:ascii="宋体" w:hAnsi="宋体"/>
          <w:bCs/>
          <w:szCs w:val="21"/>
        </w:rPr>
      </w:pPr>
      <w:r>
        <w:rPr>
          <w:rFonts w:hint="eastAsia" w:ascii="宋体" w:hAnsi="宋体"/>
          <w:bCs/>
          <w:szCs w:val="21"/>
        </w:rPr>
        <w:t>合同在以下条件全部满足之后生效：</w:t>
      </w:r>
    </w:p>
    <w:p>
      <w:pPr>
        <w:spacing w:line="400" w:lineRule="exact"/>
        <w:ind w:firstLine="420" w:firstLineChars="200"/>
        <w:rPr>
          <w:rFonts w:ascii="宋体" w:hAnsi="宋体"/>
          <w:szCs w:val="21"/>
        </w:rPr>
      </w:pPr>
      <w:r>
        <w:rPr>
          <w:rFonts w:hint="eastAsia" w:ascii="宋体" w:hAnsi="宋体"/>
          <w:bCs/>
          <w:szCs w:val="21"/>
        </w:rPr>
        <w:t>1.合同</w:t>
      </w:r>
      <w:r>
        <w:rPr>
          <w:rFonts w:hint="eastAsia" w:ascii="宋体" w:hAnsi="宋体"/>
          <w:szCs w:val="21"/>
        </w:rPr>
        <w:t>经双方法定代表人或其委托代理人签字并加盖</w:t>
      </w:r>
      <w:r>
        <w:rPr>
          <w:rFonts w:hint="eastAsia" w:ascii="宋体" w:hAnsi="宋体"/>
          <w:snapToGrid w:val="0"/>
          <w:kern w:val="0"/>
          <w:szCs w:val="21"/>
        </w:rPr>
        <w:t>公章或合同专用章</w:t>
      </w:r>
      <w:r>
        <w:rPr>
          <w:rFonts w:hint="eastAsia" w:ascii="宋体" w:hAnsi="宋体"/>
          <w:szCs w:val="21"/>
        </w:rPr>
        <w:t>；</w:t>
      </w:r>
    </w:p>
    <w:p>
      <w:pPr>
        <w:spacing w:line="400" w:lineRule="exact"/>
        <w:ind w:firstLine="420" w:firstLineChars="200"/>
        <w:rPr>
          <w:rFonts w:ascii="宋体" w:hAnsi="宋体"/>
          <w:bCs/>
          <w:szCs w:val="21"/>
        </w:rPr>
      </w:pPr>
      <w:r>
        <w:rPr>
          <w:rFonts w:hint="eastAsia" w:ascii="宋体" w:hAnsi="宋体"/>
          <w:bCs/>
          <w:szCs w:val="21"/>
        </w:rPr>
        <w:t>2.</w:t>
      </w:r>
      <w:r>
        <w:rPr>
          <w:rFonts w:hint="eastAsia" w:ascii="宋体" w:hAnsi="宋体"/>
          <w:szCs w:val="21"/>
          <w:u w:val="single"/>
        </w:rPr>
        <w:t xml:space="preserve">        </w:t>
      </w:r>
      <w:r>
        <w:rPr>
          <w:rFonts w:hint="eastAsia" w:ascii="宋体" w:hAnsi="宋体"/>
          <w:szCs w:val="21"/>
        </w:rPr>
        <w:t>。</w:t>
      </w:r>
    </w:p>
    <w:p>
      <w:pPr>
        <w:pStyle w:val="7"/>
        <w:spacing w:before="120" w:after="120" w:line="400" w:lineRule="exact"/>
        <w:ind w:firstLine="422" w:firstLineChars="200"/>
        <w:rPr>
          <w:sz w:val="21"/>
          <w:szCs w:val="21"/>
        </w:rPr>
      </w:pPr>
      <w:bookmarkStart w:id="488" w:name="_Toc532377178"/>
      <w:bookmarkStart w:id="489" w:name="_Toc351203493"/>
      <w:bookmarkStart w:id="490" w:name="_Toc532375585"/>
      <w:r>
        <w:rPr>
          <w:rFonts w:hint="eastAsia"/>
          <w:sz w:val="21"/>
          <w:szCs w:val="21"/>
        </w:rPr>
        <w:t>十三、合同份数</w:t>
      </w:r>
      <w:bookmarkEnd w:id="488"/>
      <w:bookmarkEnd w:id="489"/>
      <w:bookmarkEnd w:id="490"/>
    </w:p>
    <w:p>
      <w:pPr>
        <w:spacing w:line="400" w:lineRule="exact"/>
        <w:ind w:firstLine="420" w:firstLineChars="200"/>
        <w:rPr>
          <w:rFonts w:ascii="宋体" w:hAnsi="宋体"/>
          <w:bCs/>
          <w:szCs w:val="21"/>
        </w:rPr>
      </w:pPr>
      <w:r>
        <w:rPr>
          <w:rFonts w:hint="eastAsia" w:ascii="宋体" w:hAnsi="宋体" w:cs="Microsoft Sans Serif"/>
          <w:bCs/>
          <w:szCs w:val="21"/>
        </w:rPr>
        <w:t>合同一式</w:t>
      </w:r>
      <w:r>
        <w:rPr>
          <w:rFonts w:hint="eastAsia" w:ascii="宋体" w:hAnsi="宋体" w:cs="Microsoft Sans Serif"/>
          <w:bCs/>
          <w:szCs w:val="21"/>
          <w:u w:val="single"/>
        </w:rPr>
        <w:t xml:space="preserve">     </w:t>
      </w:r>
      <w:r>
        <w:rPr>
          <w:rFonts w:hint="eastAsia" w:ascii="宋体" w:hAnsi="宋体" w:cs="Microsoft Sans Serif"/>
          <w:bCs/>
          <w:szCs w:val="21"/>
        </w:rPr>
        <w:t>份，其中正本</w:t>
      </w:r>
      <w:r>
        <w:rPr>
          <w:rFonts w:hint="eastAsia" w:ascii="宋体" w:hAnsi="宋体" w:cs="Microsoft Sans Serif"/>
          <w:bCs/>
          <w:szCs w:val="21"/>
          <w:u w:val="single"/>
        </w:rPr>
        <w:t xml:space="preserve">    </w:t>
      </w:r>
      <w:r>
        <w:rPr>
          <w:rFonts w:hint="eastAsia" w:ascii="宋体" w:hAnsi="宋体" w:cs="Microsoft Sans Serif"/>
          <w:bCs/>
          <w:szCs w:val="21"/>
        </w:rPr>
        <w:t>份，双方各持</w:t>
      </w:r>
      <w:r>
        <w:rPr>
          <w:rFonts w:hint="eastAsia" w:ascii="宋体" w:hAnsi="宋体" w:cs="Microsoft Sans Serif"/>
          <w:bCs/>
          <w:szCs w:val="21"/>
          <w:u w:val="single"/>
        </w:rPr>
        <w:t xml:space="preserve">    </w:t>
      </w:r>
      <w:r>
        <w:rPr>
          <w:rFonts w:hint="eastAsia" w:ascii="宋体" w:hAnsi="宋体" w:cs="Microsoft Sans Serif"/>
          <w:bCs/>
          <w:szCs w:val="21"/>
        </w:rPr>
        <w:t>份，副本</w:t>
      </w:r>
      <w:r>
        <w:rPr>
          <w:rFonts w:hint="eastAsia" w:ascii="宋体" w:hAnsi="宋体" w:cs="Microsoft Sans Serif"/>
          <w:bCs/>
          <w:szCs w:val="21"/>
          <w:u w:val="single"/>
        </w:rPr>
        <w:t xml:space="preserve">    </w:t>
      </w:r>
      <w:r>
        <w:rPr>
          <w:rFonts w:hint="eastAsia" w:ascii="宋体" w:hAnsi="宋体" w:cs="Microsoft Sans Serif"/>
          <w:bCs/>
          <w:szCs w:val="21"/>
        </w:rPr>
        <w:t>份，双方各执</w:t>
      </w:r>
      <w:r>
        <w:rPr>
          <w:rFonts w:hint="eastAsia" w:ascii="宋体" w:hAnsi="宋体" w:cs="Microsoft Sans Serif"/>
          <w:bCs/>
          <w:szCs w:val="21"/>
          <w:u w:val="single"/>
        </w:rPr>
        <w:t xml:space="preserve">    </w:t>
      </w:r>
      <w:r>
        <w:rPr>
          <w:rFonts w:hint="eastAsia" w:ascii="宋体" w:hAnsi="宋体" w:cs="Microsoft Sans Serif"/>
          <w:bCs/>
          <w:szCs w:val="21"/>
        </w:rPr>
        <w:t>份。副本与正本不一致时，以正本为准</w:t>
      </w:r>
      <w:r>
        <w:rPr>
          <w:rFonts w:hint="eastAsia" w:ascii="宋体" w:hAnsi="宋体"/>
          <w:bCs/>
          <w:szCs w:val="21"/>
        </w:rPr>
        <w:t>。</w:t>
      </w:r>
    </w:p>
    <w:p>
      <w:pPr>
        <w:spacing w:line="400" w:lineRule="exact"/>
        <w:ind w:firstLine="420" w:firstLineChars="200"/>
        <w:rPr>
          <w:rFonts w:ascii="宋体" w:hAnsi="宋体"/>
          <w:bCs/>
          <w:szCs w:val="21"/>
        </w:rPr>
      </w:pPr>
    </w:p>
    <w:p>
      <w:pPr>
        <w:spacing w:line="400" w:lineRule="exact"/>
        <w:ind w:firstLine="420" w:firstLineChars="200"/>
        <w:rPr>
          <w:rFonts w:ascii="宋体" w:hAnsi="宋体"/>
          <w:bCs/>
          <w:szCs w:val="21"/>
        </w:rPr>
      </w:pPr>
      <w:r>
        <w:rPr>
          <w:rFonts w:hint="eastAsia" w:ascii="宋体" w:hAnsi="宋体"/>
          <w:bCs/>
          <w:szCs w:val="21"/>
        </w:rPr>
        <w:t>（以下为签字盖章页）。</w:t>
      </w:r>
    </w:p>
    <w:p>
      <w:pPr>
        <w:pStyle w:val="2"/>
        <w:spacing w:line="360" w:lineRule="auto"/>
        <w:rPr>
          <w:rFonts w:ascii="宋体" w:hAnsi="宋体"/>
          <w:szCs w:val="21"/>
        </w:rPr>
      </w:pPr>
    </w:p>
    <w:p>
      <w:pPr>
        <w:adjustRightInd w:val="0"/>
        <w:spacing w:line="360" w:lineRule="auto"/>
        <w:ind w:firstLine="420" w:firstLineChars="200"/>
        <w:rPr>
          <w:rFonts w:ascii="宋体" w:hAnsi="宋体"/>
          <w:snapToGrid w:val="0"/>
          <w:kern w:val="0"/>
          <w:szCs w:val="21"/>
        </w:rPr>
      </w:pPr>
      <w:bookmarkStart w:id="491" w:name="_Toc467689623"/>
      <w:r>
        <w:rPr>
          <w:rFonts w:ascii="宋体" w:hAnsi="宋体"/>
          <w:snapToGrid w:val="0"/>
          <w:kern w:val="0"/>
          <w:szCs w:val="21"/>
        </w:rPr>
        <w:t>发包人：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（公章）</w:t>
      </w:r>
    </w:p>
    <w:p>
      <w:pPr>
        <w:spacing w:line="360" w:lineRule="auto"/>
        <w:ind w:firstLine="420" w:firstLineChars="20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（签字）</w:t>
      </w:r>
    </w:p>
    <w:p>
      <w:pPr>
        <w:spacing w:line="360" w:lineRule="auto"/>
        <w:ind w:firstLine="420" w:firstLineChars="200"/>
        <w:rPr>
          <w:rFonts w:ascii="宋体" w:hAnsi="宋体"/>
          <w:snapToGrid w:val="0"/>
          <w:kern w:val="0"/>
          <w:szCs w:val="21"/>
        </w:rPr>
      </w:pPr>
      <w:r>
        <w:rPr>
          <w:rFonts w:hint="eastAsia" w:ascii="宋体" w:hAnsi="宋体"/>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zCs w:val="21"/>
        </w:rPr>
      </w:pPr>
      <w:r>
        <w:rPr>
          <w:rFonts w:hint="eastAsia" w:ascii="宋体" w:hAnsi="宋体"/>
          <w:snapToGrid w:val="0"/>
          <w:kern w:val="0"/>
          <w:szCs w:val="21"/>
        </w:rPr>
        <w:t>账    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rPr>
          <w:rFonts w:ascii="宋体" w:hAnsi="宋体"/>
          <w:snapToGrid w:val="0"/>
          <w:kern w:val="0"/>
          <w:szCs w:val="21"/>
        </w:rPr>
      </w:pPr>
    </w:p>
    <w:p>
      <w:pPr>
        <w:spacing w:line="360" w:lineRule="auto"/>
        <w:ind w:firstLine="420" w:firstLineChars="200"/>
        <w:rPr>
          <w:rFonts w:ascii="宋体" w:hAnsi="宋体"/>
          <w:szCs w:val="21"/>
        </w:rPr>
      </w:pPr>
      <w:r>
        <w:rPr>
          <w:rFonts w:ascii="宋体" w:hAnsi="宋体"/>
          <w:snapToGrid w:val="0"/>
          <w:kern w:val="0"/>
          <w:szCs w:val="21"/>
        </w:rPr>
        <w:t>承包人：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（公章）</w:t>
      </w:r>
    </w:p>
    <w:p>
      <w:pPr>
        <w:spacing w:line="360" w:lineRule="auto"/>
        <w:ind w:firstLine="420" w:firstLineChars="20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（签字）</w:t>
      </w:r>
    </w:p>
    <w:p>
      <w:pPr>
        <w:spacing w:line="360" w:lineRule="auto"/>
        <w:ind w:firstLine="420" w:firstLineChars="200"/>
        <w:rPr>
          <w:rFonts w:ascii="宋体" w:hAnsi="宋体"/>
          <w:snapToGrid w:val="0"/>
          <w:kern w:val="0"/>
          <w:szCs w:val="21"/>
        </w:rPr>
      </w:pPr>
      <w:r>
        <w:rPr>
          <w:rFonts w:hint="eastAsia" w:ascii="宋体" w:hAnsi="宋体"/>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账    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5670" w:firstLineChars="2700"/>
        <w:rPr>
          <w:rFonts w:ascii="宋体" w:hAnsi="宋体"/>
          <w:snapToGrid w:val="0"/>
          <w:kern w:val="0"/>
          <w:szCs w:val="21"/>
        </w:rPr>
      </w:pPr>
      <w:r>
        <w:rPr>
          <w:rFonts w:hint="eastAsia" w:ascii="宋体" w:hAnsi="宋体"/>
          <w:snapToGrid w:val="0"/>
          <w:kern w:val="0"/>
          <w:szCs w:val="21"/>
        </w:rPr>
        <w:t>签约时间：</w:t>
      </w:r>
      <w:r>
        <w:rPr>
          <w:rFonts w:hint="eastAsia" w:ascii="宋体" w:hAnsi="宋体"/>
          <w:snapToGrid w:val="0"/>
          <w:kern w:val="0"/>
          <w:szCs w:val="21"/>
          <w:u w:val="single"/>
        </w:rPr>
        <w:t xml:space="preserve">     </w:t>
      </w:r>
      <w:r>
        <w:rPr>
          <w:rFonts w:hint="eastAsia" w:ascii="宋体" w:hAnsi="宋体"/>
          <w:snapToGrid w:val="0"/>
          <w:kern w:val="0"/>
          <w:szCs w:val="21"/>
        </w:rPr>
        <w:t>年</w:t>
      </w:r>
      <w:r>
        <w:rPr>
          <w:rFonts w:hint="eastAsia" w:ascii="宋体" w:hAnsi="宋体"/>
          <w:snapToGrid w:val="0"/>
          <w:kern w:val="0"/>
          <w:szCs w:val="21"/>
          <w:u w:val="single"/>
        </w:rPr>
        <w:t xml:space="preserve">     </w:t>
      </w:r>
      <w:r>
        <w:rPr>
          <w:rFonts w:hint="eastAsia" w:ascii="宋体" w:hAnsi="宋体"/>
          <w:snapToGrid w:val="0"/>
          <w:kern w:val="0"/>
          <w:szCs w:val="21"/>
        </w:rPr>
        <w:t>月</w:t>
      </w:r>
      <w:r>
        <w:rPr>
          <w:rFonts w:hint="eastAsia" w:ascii="宋体" w:hAnsi="宋体"/>
          <w:snapToGrid w:val="0"/>
          <w:kern w:val="0"/>
          <w:szCs w:val="21"/>
          <w:u w:val="single"/>
        </w:rPr>
        <w:t xml:space="preserve">     </w:t>
      </w:r>
      <w:r>
        <w:rPr>
          <w:rFonts w:hint="eastAsia" w:ascii="宋体" w:hAnsi="宋体"/>
          <w:snapToGrid w:val="0"/>
          <w:kern w:val="0"/>
          <w:szCs w:val="21"/>
        </w:rPr>
        <w:t>日</w:t>
      </w:r>
      <w:bookmarkEnd w:id="491"/>
    </w:p>
    <w:p>
      <w:pPr>
        <w:spacing w:line="360" w:lineRule="auto"/>
        <w:ind w:firstLine="527" w:firstLineChars="250"/>
        <w:rPr>
          <w:rFonts w:ascii="宋体" w:hAnsi="宋体"/>
          <w:b/>
          <w:szCs w:val="21"/>
        </w:rPr>
      </w:pPr>
    </w:p>
    <w:p>
      <w:pPr>
        <w:pStyle w:val="2"/>
        <w:rPr>
          <w:rFonts w:ascii="宋体" w:hAnsi="宋体"/>
          <w:b/>
          <w:szCs w:val="21"/>
        </w:rPr>
      </w:pPr>
    </w:p>
    <w:p>
      <w:pPr>
        <w:pStyle w:val="3"/>
        <w:rPr>
          <w:rFonts w:ascii="宋体" w:hAnsi="宋体"/>
          <w:b/>
          <w:szCs w:val="21"/>
        </w:rPr>
      </w:pPr>
    </w:p>
    <w:p>
      <w:pPr>
        <w:rPr>
          <w:rFonts w:ascii="宋体" w:hAnsi="宋体"/>
          <w:b/>
          <w:szCs w:val="21"/>
        </w:rPr>
      </w:pPr>
    </w:p>
    <w:p>
      <w:pPr>
        <w:pStyle w:val="2"/>
        <w:rPr>
          <w:rFonts w:ascii="宋体" w:hAnsi="宋体"/>
          <w:b/>
          <w:szCs w:val="21"/>
        </w:rPr>
      </w:pPr>
    </w:p>
    <w:p>
      <w:pPr>
        <w:pStyle w:val="3"/>
        <w:rPr>
          <w:rFonts w:ascii="宋体" w:hAnsi="宋体"/>
          <w:b/>
          <w:szCs w:val="21"/>
        </w:rPr>
      </w:pPr>
    </w:p>
    <w:p>
      <w:pPr>
        <w:rPr>
          <w:rFonts w:ascii="宋体" w:hAnsi="宋体"/>
          <w:b/>
          <w:szCs w:val="21"/>
        </w:rPr>
      </w:pPr>
    </w:p>
    <w:p>
      <w:pPr>
        <w:pStyle w:val="2"/>
        <w:rPr>
          <w:rFonts w:ascii="宋体" w:hAnsi="宋体"/>
          <w:b/>
          <w:szCs w:val="21"/>
        </w:rPr>
      </w:pPr>
    </w:p>
    <w:p>
      <w:pPr>
        <w:pStyle w:val="3"/>
        <w:rPr>
          <w:rFonts w:ascii="宋体" w:hAnsi="宋体"/>
          <w:b/>
          <w:szCs w:val="21"/>
        </w:rPr>
      </w:pPr>
    </w:p>
    <w:p>
      <w:pPr>
        <w:rPr>
          <w:rFonts w:ascii="宋体" w:hAnsi="宋体"/>
          <w:b/>
          <w:szCs w:val="21"/>
        </w:rPr>
      </w:pPr>
    </w:p>
    <w:p>
      <w:pPr>
        <w:pStyle w:val="2"/>
        <w:rPr>
          <w:rFonts w:ascii="宋体" w:hAnsi="宋体"/>
          <w:b/>
          <w:szCs w:val="21"/>
        </w:rPr>
      </w:pPr>
    </w:p>
    <w:p>
      <w:pPr>
        <w:pStyle w:val="3"/>
        <w:rPr>
          <w:rFonts w:ascii="宋体" w:hAnsi="宋体"/>
          <w:b/>
          <w:szCs w:val="21"/>
        </w:rPr>
      </w:pPr>
    </w:p>
    <w:p>
      <w:pPr>
        <w:rPr>
          <w:rFonts w:ascii="宋体" w:hAnsi="宋体"/>
          <w:b/>
          <w:szCs w:val="21"/>
        </w:rPr>
      </w:pPr>
    </w:p>
    <w:p>
      <w:pPr>
        <w:pStyle w:val="2"/>
        <w:rPr>
          <w:rFonts w:ascii="宋体" w:hAnsi="宋体"/>
          <w:b/>
          <w:szCs w:val="21"/>
        </w:rPr>
      </w:pPr>
    </w:p>
    <w:p>
      <w:pPr>
        <w:pStyle w:val="3"/>
        <w:rPr>
          <w:rFonts w:ascii="宋体" w:hAnsi="宋体"/>
          <w:b/>
          <w:szCs w:val="21"/>
        </w:rPr>
      </w:pPr>
    </w:p>
    <w:p/>
    <w:p>
      <w:pPr>
        <w:snapToGrid w:val="0"/>
        <w:spacing w:line="288" w:lineRule="auto"/>
        <w:rPr>
          <w:color w:val="000000"/>
        </w:rPr>
      </w:pPr>
      <w:r>
        <w:rPr>
          <w:rFonts w:hint="eastAsia"/>
          <w:color w:val="000000"/>
        </w:rPr>
        <w:t>　　　　　　　</w:t>
      </w:r>
    </w:p>
    <w:p>
      <w:pPr>
        <w:spacing w:line="360" w:lineRule="exact"/>
        <w:ind w:firstLine="630" w:firstLineChars="300"/>
        <w:rPr>
          <w:rFonts w:ascii="宋体" w:hAnsi="宋体" w:cs="宋体"/>
        </w:rPr>
      </w:pPr>
    </w:p>
    <w:p>
      <w:pPr>
        <w:spacing w:line="360" w:lineRule="exact"/>
        <w:ind w:firstLine="630" w:firstLineChars="300"/>
        <w:rPr>
          <w:rFonts w:ascii="宋体" w:hAnsi="宋体" w:cs="宋体"/>
        </w:rPr>
      </w:pPr>
    </w:p>
    <w:p>
      <w:pPr>
        <w:spacing w:line="360" w:lineRule="exact"/>
        <w:ind w:firstLine="630" w:firstLineChars="300"/>
        <w:rPr>
          <w:rFonts w:ascii="宋体" w:hAnsi="宋体" w:cs="宋体"/>
        </w:rPr>
      </w:pPr>
    </w:p>
    <w:p>
      <w:pPr>
        <w:spacing w:line="360" w:lineRule="exact"/>
        <w:ind w:firstLine="630" w:firstLineChars="300"/>
        <w:rPr>
          <w:rFonts w:ascii="宋体" w:hAnsi="宋体" w:cs="宋体"/>
        </w:rPr>
      </w:pPr>
    </w:p>
    <w:p>
      <w:pPr>
        <w:spacing w:line="360" w:lineRule="exact"/>
        <w:ind w:firstLine="630" w:firstLineChars="300"/>
        <w:rPr>
          <w:rFonts w:ascii="宋体" w:cs="宋体"/>
        </w:rPr>
      </w:pPr>
    </w:p>
    <w:p>
      <w:pPr>
        <w:spacing w:line="360" w:lineRule="exact"/>
        <w:ind w:firstLine="630" w:firstLineChars="300"/>
        <w:rPr>
          <w:rFonts w:ascii="宋体" w:cs="宋体"/>
        </w:rPr>
      </w:pPr>
    </w:p>
    <w:p>
      <w:pPr>
        <w:spacing w:line="360" w:lineRule="exact"/>
        <w:ind w:firstLine="630" w:firstLineChars="300"/>
        <w:rPr>
          <w:rFonts w:ascii="宋体" w:cs="宋体"/>
        </w:rPr>
      </w:pPr>
    </w:p>
    <w:p>
      <w:pPr>
        <w:spacing w:line="360" w:lineRule="auto"/>
        <w:jc w:val="center"/>
      </w:pPr>
    </w:p>
    <w:p>
      <w:pPr>
        <w:pStyle w:val="205"/>
      </w:pPr>
    </w:p>
    <w:p>
      <w:pPr>
        <w:pStyle w:val="205"/>
      </w:pPr>
    </w:p>
    <w:p/>
    <w:bookmarkEnd w:id="449"/>
    <w:bookmarkEnd w:id="450"/>
    <w:p>
      <w:pPr>
        <w:spacing w:line="360" w:lineRule="auto"/>
        <w:jc w:val="center"/>
        <w:rPr>
          <w:b/>
          <w:sz w:val="32"/>
          <w:szCs w:val="32"/>
        </w:rPr>
      </w:pPr>
      <w:bookmarkStart w:id="492" w:name="_Toc298010387"/>
      <w:bookmarkStart w:id="493" w:name="_Toc325910652"/>
      <w:bookmarkStart w:id="494" w:name="_Toc322559720"/>
      <w:bookmarkStart w:id="495" w:name="_Toc29227"/>
      <w:bookmarkStart w:id="496" w:name="_Toc330980512"/>
      <w:r>
        <w:rPr>
          <w:rFonts w:hint="eastAsia"/>
          <w:b/>
          <w:sz w:val="32"/>
          <w:szCs w:val="32"/>
        </w:rPr>
        <w:t>第二节</w:t>
      </w:r>
      <w:r>
        <w:rPr>
          <w:rFonts w:hint="eastAsia"/>
          <w:b/>
          <w:sz w:val="32"/>
          <w:szCs w:val="32"/>
        </w:rPr>
        <w:tab/>
      </w:r>
      <w:r>
        <w:rPr>
          <w:rFonts w:hint="eastAsia"/>
          <w:b/>
          <w:sz w:val="32"/>
          <w:szCs w:val="32"/>
        </w:rPr>
        <w:t>通用合同条款</w:t>
      </w:r>
    </w:p>
    <w:p>
      <w:pPr>
        <w:spacing w:line="360" w:lineRule="auto"/>
        <w:ind w:firstLine="551" w:firstLineChars="196"/>
        <w:rPr>
          <w:rFonts w:ascii="宋体" w:hAnsi="宋体"/>
          <w:b/>
          <w:sz w:val="28"/>
          <w:szCs w:val="28"/>
        </w:rPr>
      </w:pPr>
      <w:r>
        <w:rPr>
          <w:rFonts w:hint="eastAsia" w:ascii="宋体" w:hAnsi="宋体"/>
          <w:b/>
          <w:sz w:val="28"/>
          <w:szCs w:val="28"/>
        </w:rPr>
        <w:t>采用中华人民共和国《标准施工招标文件（2007年版）》（中国计划出版社）第四章第一节的《通用合同条款》。</w:t>
      </w:r>
    </w:p>
    <w:p>
      <w:pPr>
        <w:pStyle w:val="4"/>
        <w:spacing w:before="0" w:after="0" w:line="360" w:lineRule="auto"/>
        <w:jc w:val="center"/>
        <w:rPr>
          <w:rFonts w:ascii="宋体" w:cs="仿宋"/>
          <w:bCs/>
          <w:kern w:val="0"/>
          <w:sz w:val="36"/>
          <w:szCs w:val="36"/>
        </w:rPr>
      </w:pPr>
    </w:p>
    <w:p>
      <w:pPr>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6"/>
        <w:jc w:val="center"/>
        <w:rPr>
          <w:rFonts w:ascii="宋体" w:hAnsi="宋体"/>
          <w:sz w:val="44"/>
          <w:szCs w:val="44"/>
        </w:rPr>
      </w:pPr>
      <w:bookmarkStart w:id="497" w:name="_Toc44424088"/>
      <w:bookmarkStart w:id="498" w:name="_Toc532375607"/>
      <w:bookmarkStart w:id="499" w:name="_Toc532377320"/>
      <w:bookmarkStart w:id="500" w:name="_Toc529388290"/>
      <w:r>
        <w:rPr>
          <w:rFonts w:hint="eastAsia" w:ascii="宋体" w:hAnsi="宋体"/>
          <w:sz w:val="44"/>
          <w:szCs w:val="44"/>
        </w:rPr>
        <w:t>第三节 专用合同条款</w:t>
      </w:r>
      <w:bookmarkEnd w:id="497"/>
      <w:bookmarkEnd w:id="498"/>
      <w:bookmarkEnd w:id="499"/>
      <w:bookmarkEnd w:id="500"/>
    </w:p>
    <w:p>
      <w:pPr>
        <w:pStyle w:val="7"/>
        <w:spacing w:before="120" w:beforeLines="50" w:after="120" w:afterLines="50" w:line="360" w:lineRule="auto"/>
        <w:rPr>
          <w:sz w:val="21"/>
          <w:szCs w:val="21"/>
        </w:rPr>
      </w:pPr>
      <w:bookmarkStart w:id="501" w:name="_Toc351203633"/>
      <w:bookmarkStart w:id="502" w:name="_Toc532377321"/>
      <w:bookmarkStart w:id="503" w:name="_Toc532375608"/>
      <w:bookmarkStart w:id="504" w:name="_Hlk528927191"/>
      <w:r>
        <w:rPr>
          <w:rFonts w:hint="eastAsia"/>
          <w:sz w:val="21"/>
          <w:szCs w:val="21"/>
        </w:rPr>
        <w:t>1</w:t>
      </w:r>
      <w:bookmarkStart w:id="505" w:name="_Toc297120456"/>
      <w:bookmarkStart w:id="506" w:name="_Toc296347155"/>
      <w:bookmarkStart w:id="507" w:name="_Toc296944495"/>
      <w:bookmarkStart w:id="508" w:name="_Toc292559361"/>
      <w:bookmarkStart w:id="509" w:name="_Toc296890984"/>
      <w:bookmarkStart w:id="510" w:name="_Toc296346657"/>
      <w:bookmarkStart w:id="511" w:name="_Toc296503156"/>
      <w:bookmarkStart w:id="512" w:name="_Toc296891196"/>
      <w:bookmarkStart w:id="513" w:name="_Toc292559866"/>
      <w:bookmarkStart w:id="514" w:name="_Toc297048342"/>
      <w:r>
        <w:rPr>
          <w:rFonts w:hint="eastAsia"/>
          <w:sz w:val="21"/>
          <w:szCs w:val="21"/>
        </w:rPr>
        <w:t>. 一般约定</w:t>
      </w:r>
      <w:bookmarkEnd w:id="501"/>
      <w:bookmarkEnd w:id="502"/>
      <w:bookmarkEnd w:id="503"/>
    </w:p>
    <w:bookmarkEnd w:id="505"/>
    <w:bookmarkEnd w:id="506"/>
    <w:bookmarkEnd w:id="507"/>
    <w:bookmarkEnd w:id="508"/>
    <w:bookmarkEnd w:id="509"/>
    <w:bookmarkEnd w:id="510"/>
    <w:bookmarkEnd w:id="511"/>
    <w:bookmarkEnd w:id="512"/>
    <w:bookmarkEnd w:id="513"/>
    <w:bookmarkEnd w:id="514"/>
    <w:p>
      <w:pPr>
        <w:pStyle w:val="8"/>
        <w:spacing w:before="0" w:after="0" w:line="360" w:lineRule="auto"/>
        <w:ind w:firstLine="422" w:firstLineChars="200"/>
        <w:rPr>
          <w:sz w:val="21"/>
          <w:szCs w:val="21"/>
        </w:rPr>
      </w:pPr>
      <w:bookmarkStart w:id="515" w:name="_Toc532377322"/>
      <w:r>
        <w:rPr>
          <w:rFonts w:hint="eastAsia"/>
          <w:sz w:val="21"/>
          <w:szCs w:val="21"/>
        </w:rPr>
        <w:t>1.1词语定义与解释</w:t>
      </w:r>
      <w:bookmarkEnd w:id="515"/>
    </w:p>
    <w:p>
      <w:pPr>
        <w:spacing w:line="360" w:lineRule="auto"/>
        <w:ind w:firstLine="420" w:firstLineChars="200"/>
        <w:jc w:val="left"/>
        <w:rPr>
          <w:rFonts w:ascii="宋体" w:hAnsi="宋体"/>
          <w:kern w:val="0"/>
          <w:szCs w:val="21"/>
        </w:rPr>
      </w:pPr>
      <w:r>
        <w:rPr>
          <w:rFonts w:hint="eastAsia" w:ascii="宋体" w:hAnsi="宋体"/>
          <w:kern w:val="0"/>
          <w:szCs w:val="21"/>
        </w:rPr>
        <w:t>1.1.1 合同</w:t>
      </w:r>
    </w:p>
    <w:p>
      <w:pPr>
        <w:spacing w:line="360" w:lineRule="auto"/>
        <w:ind w:firstLine="420" w:firstLineChars="200"/>
        <w:jc w:val="left"/>
        <w:rPr>
          <w:rFonts w:ascii="宋体" w:hAnsi="宋体"/>
          <w:kern w:val="0"/>
          <w:szCs w:val="21"/>
        </w:rPr>
      </w:pPr>
      <w:r>
        <w:rPr>
          <w:rFonts w:hint="eastAsia" w:ascii="宋体" w:hAnsi="宋体"/>
          <w:kern w:val="0"/>
          <w:szCs w:val="21"/>
        </w:rPr>
        <w:t>1.1.1.6技术标准和要求：</w:t>
      </w:r>
      <w:r>
        <w:rPr>
          <w:rFonts w:hint="eastAsia" w:ascii="宋体" w:hAnsi="宋体"/>
          <w:kern w:val="0"/>
          <w:szCs w:val="21"/>
          <w:u w:val="single"/>
        </w:rPr>
        <w:t>本目中的技术标准和要求是指技术规范，即合同所约定的技术标准和要求，是合同文件的组成部分。通用合同条款中“技术标准和要求”一词具有相同含义，包括合同双方当事人约定对其所作的修改或补充</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1.1.1.8 已标价工程量清单：</w:t>
      </w:r>
      <w:r>
        <w:rPr>
          <w:rFonts w:hint="eastAsia" w:ascii="宋体" w:hAnsi="宋体"/>
          <w:kern w:val="0"/>
          <w:szCs w:val="21"/>
          <w:u w:val="single"/>
        </w:rPr>
        <w:t>指构成合同的由承包人按照发包人规定的格式和要求填写并标明价格、经算术性错误修订及其他错误修订（如有）且承包人已确认的工程量清单</w:t>
      </w:r>
      <w:r>
        <w:rPr>
          <w:rFonts w:hint="eastAsia" w:ascii="宋体" w:hAnsi="宋体"/>
          <w:kern w:val="0"/>
          <w:szCs w:val="21"/>
        </w:rPr>
        <w:t>。</w:t>
      </w:r>
    </w:p>
    <w:p>
      <w:pPr>
        <w:spacing w:line="360" w:lineRule="auto"/>
        <w:ind w:firstLine="420" w:firstLineChars="200"/>
        <w:jc w:val="left"/>
        <w:rPr>
          <w:rFonts w:ascii="宋体" w:hAnsi="宋体"/>
          <w:szCs w:val="21"/>
        </w:rPr>
      </w:pPr>
      <w:r>
        <w:rPr>
          <w:rFonts w:hint="eastAsia" w:ascii="宋体" w:hAnsi="宋体"/>
          <w:kern w:val="0"/>
          <w:szCs w:val="21"/>
        </w:rPr>
        <w:t>1.1.1.10 其他合同文件包括：</w:t>
      </w:r>
      <w:r>
        <w:rPr>
          <w:rFonts w:hint="eastAsia" w:ascii="宋体" w:hAnsi="宋体"/>
          <w:szCs w:val="21"/>
          <w:u w:val="single"/>
        </w:rPr>
        <w:t>按照合同协议书</w:t>
      </w:r>
      <w:r>
        <w:rPr>
          <w:rFonts w:hint="eastAsia" w:ascii="宋体" w:hAnsi="宋体"/>
          <w:bCs/>
          <w:szCs w:val="21"/>
          <w:u w:val="single"/>
        </w:rPr>
        <w:t>〔</w:t>
      </w:r>
      <w:r>
        <w:rPr>
          <w:rFonts w:hint="eastAsia" w:ascii="宋体" w:hAnsi="宋体"/>
          <w:szCs w:val="21"/>
          <w:u w:val="single"/>
        </w:rPr>
        <w:t>第六条</w:t>
      </w:r>
      <w:r>
        <w:rPr>
          <w:rFonts w:hint="eastAsia" w:ascii="宋体" w:hAnsi="宋体"/>
          <w:bCs/>
          <w:szCs w:val="21"/>
          <w:u w:val="single"/>
        </w:rPr>
        <w:t>〕</w:t>
      </w:r>
      <w:r>
        <w:rPr>
          <w:rFonts w:hint="eastAsia" w:ascii="宋体" w:hAnsi="宋体"/>
          <w:szCs w:val="21"/>
          <w:u w:val="single"/>
        </w:rPr>
        <w:t>约定执行</w:t>
      </w:r>
      <w:r>
        <w:rPr>
          <w:rFonts w:hint="eastAsia" w:ascii="宋体" w:hAnsi="宋体"/>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本项补充1.1.1.11～1.1.1.14目：</w:t>
      </w:r>
    </w:p>
    <w:p>
      <w:pPr>
        <w:spacing w:line="360" w:lineRule="auto"/>
        <w:ind w:firstLine="420" w:firstLineChars="200"/>
        <w:jc w:val="left"/>
        <w:rPr>
          <w:rFonts w:ascii="宋体" w:hAnsi="宋体"/>
          <w:kern w:val="0"/>
          <w:szCs w:val="21"/>
        </w:rPr>
      </w:pPr>
      <w:r>
        <w:rPr>
          <w:rFonts w:hint="eastAsia" w:ascii="宋体" w:hAnsi="宋体"/>
          <w:kern w:val="0"/>
          <w:szCs w:val="21"/>
        </w:rPr>
        <w:t>1.1.1.11 招标文件：</w:t>
      </w:r>
      <w:r>
        <w:rPr>
          <w:rFonts w:hint="eastAsia" w:ascii="宋体" w:hAnsi="宋体"/>
          <w:kern w:val="0"/>
          <w:szCs w:val="21"/>
          <w:u w:val="single"/>
        </w:rPr>
        <w:t>指本工程的招标文件、图纸、其他技术资料及招标人发出的对招标文件所作的澄清、修改、补遗等资料</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1.1.1.12 工作：</w:t>
      </w:r>
      <w:r>
        <w:rPr>
          <w:rFonts w:hint="eastAsia" w:ascii="宋体" w:hAnsi="宋体"/>
          <w:kern w:val="0"/>
          <w:szCs w:val="21"/>
          <w:u w:val="single"/>
        </w:rPr>
        <w:t>指根据合同条款规定，或根据合同合理推及的，为本工程（包括永久工程和临时工程）施工与维护所需要的管理、劳务、材料、施工设备和其他物品的提供</w:t>
      </w:r>
      <w:r>
        <w:rPr>
          <w:rFonts w:hint="eastAsia" w:ascii="宋体" w:hAnsi="宋体"/>
          <w:kern w:val="0"/>
          <w:szCs w:val="21"/>
        </w:rPr>
        <w:t>。</w:t>
      </w:r>
    </w:p>
    <w:p>
      <w:pPr>
        <w:spacing w:line="360" w:lineRule="auto"/>
        <w:ind w:firstLine="420" w:firstLineChars="200"/>
        <w:jc w:val="left"/>
        <w:rPr>
          <w:rFonts w:ascii="宋体" w:hAnsi="宋体"/>
          <w:szCs w:val="21"/>
        </w:rPr>
      </w:pPr>
      <w:r>
        <w:rPr>
          <w:rFonts w:hint="eastAsia" w:ascii="宋体" w:hAnsi="宋体"/>
          <w:szCs w:val="21"/>
        </w:rPr>
        <w:t>1.1.1.13 重大设计变更：按照规定需要重新报建设行政主管部门批准的设计变更。</w:t>
      </w:r>
    </w:p>
    <w:p>
      <w:pPr>
        <w:spacing w:line="360" w:lineRule="auto"/>
        <w:ind w:firstLine="420" w:firstLineChars="200"/>
        <w:jc w:val="left"/>
        <w:rPr>
          <w:rFonts w:ascii="宋体" w:hAnsi="宋体"/>
          <w:szCs w:val="21"/>
        </w:rPr>
      </w:pPr>
      <w:r>
        <w:rPr>
          <w:rFonts w:ascii="宋体" w:hAnsi="宋体"/>
          <w:szCs w:val="21"/>
        </w:rPr>
        <w:t>1.1.1.</w:t>
      </w:r>
      <w:r>
        <w:rPr>
          <w:rFonts w:hint="eastAsia" w:ascii="宋体" w:hAnsi="宋体"/>
          <w:szCs w:val="21"/>
        </w:rPr>
        <w:t>14 公章：专指法定单位名称章</w:t>
      </w:r>
      <w:r>
        <w:rPr>
          <w:rFonts w:ascii="宋体" w:hAnsi="宋体"/>
          <w:szCs w:val="21"/>
        </w:rPr>
        <w:t>。</w:t>
      </w:r>
    </w:p>
    <w:bookmarkEnd w:id="504"/>
    <w:p>
      <w:pPr>
        <w:spacing w:line="360" w:lineRule="auto"/>
        <w:ind w:firstLine="420" w:firstLineChars="200"/>
        <w:jc w:val="left"/>
        <w:rPr>
          <w:rFonts w:ascii="宋体" w:hAnsi="宋体"/>
          <w:szCs w:val="21"/>
        </w:rPr>
      </w:pPr>
      <w:r>
        <w:rPr>
          <w:rFonts w:hint="eastAsia" w:ascii="宋体" w:hAnsi="宋体"/>
          <w:szCs w:val="21"/>
        </w:rPr>
        <w:t>1.1.1.15 到岗：指承包人按照到岗履职承诺安排满足办理施工许可手续相关要求的项目主要管理人员实际到施工现场就职履约的行为。</w:t>
      </w:r>
    </w:p>
    <w:p>
      <w:pPr>
        <w:spacing w:line="360" w:lineRule="auto"/>
        <w:ind w:firstLine="420" w:firstLineChars="200"/>
        <w:jc w:val="left"/>
        <w:rPr>
          <w:rFonts w:ascii="宋体" w:hAnsi="宋体"/>
          <w:szCs w:val="21"/>
        </w:rPr>
      </w:pPr>
      <w:r>
        <w:rPr>
          <w:rFonts w:hint="eastAsia" w:ascii="宋体" w:hAnsi="宋体"/>
          <w:szCs w:val="21"/>
        </w:rPr>
        <w:t>1.1.1.16 项目法人：指具有民事权利能力和民事行为能力，依法独立享有民事权利和承担民事义务，以建设项目为目的，从事项目管理的机构、单位或组织。</w:t>
      </w:r>
    </w:p>
    <w:p>
      <w:pPr>
        <w:spacing w:line="360" w:lineRule="auto"/>
        <w:ind w:firstLine="420" w:firstLineChars="200"/>
        <w:jc w:val="left"/>
        <w:rPr>
          <w:rFonts w:ascii="宋体" w:hAnsi="宋体"/>
          <w:szCs w:val="21"/>
        </w:rPr>
      </w:pPr>
      <w:r>
        <w:rPr>
          <w:rFonts w:hint="eastAsia" w:ascii="宋体" w:hAnsi="宋体"/>
          <w:szCs w:val="21"/>
        </w:rPr>
        <w:t>1.1.2 合同当事人及其他相关方</w:t>
      </w:r>
    </w:p>
    <w:p>
      <w:pPr>
        <w:spacing w:line="360" w:lineRule="auto"/>
        <w:ind w:firstLine="420" w:firstLineChars="200"/>
        <w:jc w:val="left"/>
        <w:rPr>
          <w:rFonts w:ascii="宋体" w:hAnsi="宋体"/>
          <w:szCs w:val="21"/>
        </w:rPr>
      </w:pPr>
      <w:r>
        <w:rPr>
          <w:rFonts w:hint="eastAsia" w:ascii="宋体" w:hAnsi="宋体"/>
          <w:szCs w:val="21"/>
        </w:rPr>
        <w:t>1.1.2.4 监理人：</w:t>
      </w:r>
    </w:p>
    <w:p>
      <w:pPr>
        <w:spacing w:line="360" w:lineRule="auto"/>
        <w:ind w:firstLine="420" w:firstLineChars="200"/>
        <w:jc w:val="left"/>
        <w:rPr>
          <w:rFonts w:ascii="宋体" w:hAnsi="宋体"/>
          <w:szCs w:val="21"/>
        </w:rPr>
      </w:pPr>
      <w:r>
        <w:rPr>
          <w:rFonts w:hint="eastAsia" w:ascii="宋体" w:hAnsi="宋体"/>
          <w:szCs w:val="21"/>
        </w:rPr>
        <w:t>名    称：</w:t>
      </w:r>
      <w:r>
        <w:rPr>
          <w:rFonts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资质类别和等级：</w:t>
      </w:r>
      <w:r>
        <w:rPr>
          <w:rFonts w:ascii="宋体" w:hAnsi="宋体"/>
          <w:szCs w:val="21"/>
          <w:u w:val="single"/>
        </w:rPr>
        <w:t></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1.1.2.5 设计人：</w:t>
      </w:r>
    </w:p>
    <w:p>
      <w:pPr>
        <w:spacing w:line="360" w:lineRule="auto"/>
        <w:ind w:firstLine="420" w:firstLineChars="200"/>
        <w:jc w:val="left"/>
        <w:rPr>
          <w:rFonts w:ascii="宋体" w:hAnsi="宋体"/>
          <w:szCs w:val="21"/>
        </w:rPr>
      </w:pPr>
      <w:r>
        <w:rPr>
          <w:rFonts w:hint="eastAsia" w:ascii="宋体" w:hAnsi="宋体"/>
          <w:szCs w:val="21"/>
        </w:rPr>
        <w:t>名    称：</w:t>
      </w:r>
      <w:r>
        <w:rPr>
          <w:rFonts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资质类别和等级：</w:t>
      </w:r>
      <w:r>
        <w:rPr>
          <w:rFonts w:ascii="宋体" w:hAnsi="宋体"/>
          <w:szCs w:val="21"/>
          <w:u w:val="single"/>
        </w:rPr>
        <w:t></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1.1.3 工程和设备</w:t>
      </w:r>
    </w:p>
    <w:p>
      <w:pPr>
        <w:spacing w:line="360" w:lineRule="auto"/>
        <w:ind w:firstLine="420" w:firstLineChars="200"/>
        <w:jc w:val="left"/>
        <w:rPr>
          <w:rFonts w:ascii="宋体" w:hAnsi="宋体"/>
          <w:szCs w:val="21"/>
        </w:rPr>
      </w:pPr>
      <w:r>
        <w:rPr>
          <w:rFonts w:hint="eastAsia" w:ascii="宋体" w:hAnsi="宋体"/>
          <w:kern w:val="0"/>
          <w:szCs w:val="21"/>
        </w:rPr>
        <w:t>1.1.3.7 作为施工现场组成部分的其他场所包括：</w:t>
      </w:r>
      <w:r>
        <w:rPr>
          <w:rFonts w:hint="eastAsia" w:ascii="宋体" w:hAnsi="宋体"/>
          <w:kern w:val="0"/>
          <w:szCs w:val="21"/>
          <w:u w:val="single"/>
        </w:rPr>
        <w:t>永久占地、临时占地以及为修建临时工程而租用、占用的土地</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kern w:val="0"/>
          <w:szCs w:val="21"/>
        </w:rPr>
        <w:t>1.1.3.9 永久占地包括：</w:t>
      </w:r>
      <w:r>
        <w:rPr>
          <w:rFonts w:hint="eastAsia" w:ascii="宋体" w:hAnsi="宋体"/>
          <w:kern w:val="0"/>
          <w:szCs w:val="21"/>
          <w:u w:val="single"/>
        </w:rPr>
        <w:t>为实施合同工程而需要的一切永久占用的土地，即合同工程</w:t>
      </w:r>
      <w:r>
        <w:rPr>
          <w:rFonts w:hint="eastAsia" w:ascii="宋体" w:hAnsi="宋体"/>
          <w:szCs w:val="21"/>
          <w:u w:val="single"/>
        </w:rPr>
        <w:t>用地红线范围内的土地</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1.1.3.10 临时占地包括：</w:t>
      </w:r>
      <w:r>
        <w:rPr>
          <w:rFonts w:hint="eastAsia" w:ascii="宋体" w:hAnsi="宋体"/>
          <w:szCs w:val="21"/>
          <w:u w:val="single"/>
        </w:rPr>
        <w:t>为实施合同工程而需要</w:t>
      </w:r>
      <w:r>
        <w:rPr>
          <w:rFonts w:hint="eastAsia" w:ascii="宋体" w:hAnsi="宋体"/>
          <w:kern w:val="0"/>
          <w:szCs w:val="21"/>
          <w:u w:val="single"/>
        </w:rPr>
        <w:t>的一切</w:t>
      </w:r>
      <w:r>
        <w:rPr>
          <w:rFonts w:hint="eastAsia" w:ascii="宋体" w:hAnsi="宋体"/>
          <w:szCs w:val="21"/>
          <w:u w:val="single"/>
        </w:rPr>
        <w:t>临时占用的土地，包括施工所用的临时便道等的临时出入道，以及生产（办公）、生活等临时设施用地</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1.1.6 其他</w:t>
      </w:r>
    </w:p>
    <w:p>
      <w:pPr>
        <w:spacing w:line="360" w:lineRule="auto"/>
        <w:ind w:firstLine="420" w:firstLineChars="200"/>
        <w:jc w:val="left"/>
        <w:rPr>
          <w:rFonts w:ascii="宋体" w:hAnsi="宋体"/>
          <w:szCs w:val="21"/>
        </w:rPr>
      </w:pPr>
      <w:bookmarkStart w:id="516" w:name="_Hlk528927262"/>
      <w:r>
        <w:rPr>
          <w:rFonts w:hint="eastAsia" w:ascii="宋体" w:hAnsi="宋体"/>
          <w:szCs w:val="21"/>
        </w:rPr>
        <w:t>本项补充1.1.6.2～1.1.6.3目：</w:t>
      </w:r>
    </w:p>
    <w:p>
      <w:pPr>
        <w:spacing w:line="360" w:lineRule="auto"/>
        <w:ind w:firstLine="420" w:firstLineChars="200"/>
        <w:jc w:val="left"/>
        <w:rPr>
          <w:rFonts w:ascii="宋体" w:hAnsi="宋体"/>
          <w:szCs w:val="21"/>
        </w:rPr>
      </w:pPr>
      <w:r>
        <w:rPr>
          <w:rFonts w:hint="eastAsia" w:ascii="宋体" w:hAnsi="宋体"/>
          <w:szCs w:val="21"/>
        </w:rPr>
        <w:t>1.1.6.2 转包、违法分包及挂靠：指符合《住房和城乡建设部关于印发建筑工程施工发包与承包违法行为认定查处管理办法的通知》（建市规〔2019〕1号）规定认定条件的</w:t>
      </w:r>
      <w:r>
        <w:rPr>
          <w:rFonts w:hint="eastAsia" w:ascii="宋体" w:hAnsi="宋体"/>
          <w:kern w:val="0"/>
          <w:szCs w:val="21"/>
        </w:rPr>
        <w:t>违法行为</w:t>
      </w:r>
      <w:r>
        <w:rPr>
          <w:rFonts w:hint="eastAsia" w:ascii="宋体" w:hAnsi="宋体"/>
          <w:szCs w:val="21"/>
        </w:rPr>
        <w:t>。</w:t>
      </w:r>
    </w:p>
    <w:bookmarkEnd w:id="516"/>
    <w:p>
      <w:pPr>
        <w:spacing w:line="360" w:lineRule="auto"/>
        <w:ind w:firstLine="420" w:firstLineChars="200"/>
        <w:jc w:val="left"/>
        <w:rPr>
          <w:rFonts w:ascii="宋体" w:hAnsi="宋体"/>
          <w:szCs w:val="21"/>
        </w:rPr>
      </w:pPr>
      <w:r>
        <w:rPr>
          <w:rFonts w:hint="eastAsia" w:ascii="宋体" w:hAnsi="宋体"/>
          <w:szCs w:val="21"/>
        </w:rPr>
        <w:t>1.1.6.3 危险性较大的分部分项工程（以下简称“危大工程”）：指住房和城乡建设部令第37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城乡建设委员会补充的范围为准。</w:t>
      </w:r>
    </w:p>
    <w:p>
      <w:pPr>
        <w:pStyle w:val="8"/>
        <w:spacing w:before="0" w:after="0" w:line="360" w:lineRule="auto"/>
        <w:ind w:firstLine="422" w:firstLineChars="200"/>
        <w:rPr>
          <w:sz w:val="21"/>
          <w:szCs w:val="21"/>
        </w:rPr>
      </w:pPr>
      <w:bookmarkStart w:id="517" w:name="_Toc532377323"/>
      <w:r>
        <w:rPr>
          <w:rFonts w:hint="eastAsia"/>
          <w:sz w:val="21"/>
          <w:szCs w:val="21"/>
        </w:rPr>
        <w:t>1.4 标准和规范</w:t>
      </w:r>
      <w:bookmarkEnd w:id="517"/>
    </w:p>
    <w:p>
      <w:pPr>
        <w:spacing w:line="360" w:lineRule="auto"/>
        <w:ind w:firstLine="420" w:firstLineChars="200"/>
        <w:jc w:val="left"/>
        <w:rPr>
          <w:rFonts w:ascii="宋体" w:hAnsi="宋体"/>
          <w:szCs w:val="21"/>
        </w:rPr>
      </w:pPr>
      <w:r>
        <w:rPr>
          <w:rFonts w:hint="eastAsia" w:ascii="宋体" w:hAnsi="宋体"/>
          <w:szCs w:val="21"/>
        </w:rPr>
        <w:t>1.4.1 适用于工程的标准规范包括：</w:t>
      </w:r>
    </w:p>
    <w:p>
      <w:pPr>
        <w:spacing w:line="360" w:lineRule="auto"/>
        <w:ind w:firstLine="420" w:firstLineChars="200"/>
        <w:jc w:val="left"/>
        <w:rPr>
          <w:rFonts w:ascii="宋体" w:hAnsi="宋体"/>
          <w:szCs w:val="21"/>
        </w:rPr>
      </w:pPr>
      <w:r>
        <w:rPr>
          <w:rFonts w:hint="eastAsia" w:ascii="宋体" w:hAnsi="宋体"/>
          <w:szCs w:val="21"/>
        </w:rPr>
        <w:t>（1）施工图所涉及的技术标准、规范、规程、图集等；</w:t>
      </w:r>
    </w:p>
    <w:p>
      <w:pPr>
        <w:spacing w:line="360" w:lineRule="auto"/>
        <w:ind w:firstLine="420" w:firstLineChars="200"/>
        <w:jc w:val="left"/>
        <w:rPr>
          <w:rFonts w:ascii="宋体" w:hAnsi="宋体"/>
          <w:szCs w:val="21"/>
          <w:u w:val="single"/>
        </w:rPr>
      </w:pPr>
      <w:r>
        <w:rPr>
          <w:rFonts w:hint="eastAsia" w:ascii="宋体" w:hAnsi="宋体"/>
          <w:szCs w:val="21"/>
        </w:rPr>
        <w:t>（2）国家、行业或重庆市与本工程有关的标准，以及相应的规范、规程等，当这些标准、规范、规程不一致时，以标准、规范、规程要求最高的为准。</w:t>
      </w:r>
    </w:p>
    <w:p>
      <w:pPr>
        <w:spacing w:line="360" w:lineRule="auto"/>
        <w:ind w:firstLine="420" w:firstLineChars="200"/>
        <w:jc w:val="left"/>
        <w:rPr>
          <w:rFonts w:ascii="宋体" w:hAnsi="宋体"/>
          <w:szCs w:val="21"/>
          <w:u w:val="single"/>
        </w:rPr>
      </w:pPr>
      <w:r>
        <w:rPr>
          <w:rFonts w:ascii="宋体" w:hAnsi="宋体"/>
          <w:szCs w:val="21"/>
        </w:rPr>
        <w:t>（</w:t>
      </w:r>
      <w:r>
        <w:rPr>
          <w:rFonts w:hint="eastAsia" w:ascii="宋体" w:hAnsi="宋体"/>
          <w:szCs w:val="21"/>
        </w:rPr>
        <w:t>3</w:t>
      </w:r>
      <w:r>
        <w:rPr>
          <w:rFonts w:ascii="宋体" w:hAnsi="宋体"/>
          <w:szCs w:val="21"/>
        </w:rPr>
        <w:t>）</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1.4.2 发包人提供国外标准、规范的名称：</w:t>
      </w:r>
      <w:r>
        <w:rPr>
          <w:rFonts w:hint="eastAsia" w:ascii="宋体" w:hAnsi="宋体"/>
          <w:kern w:val="0"/>
          <w:szCs w:val="21"/>
          <w:u w:val="single"/>
        </w:rPr>
        <w:t xml:space="preserve"> /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发包人提供国外标准、规范的份数：</w:t>
      </w:r>
      <w:r>
        <w:rPr>
          <w:rFonts w:hint="eastAsia" w:ascii="宋体" w:hAnsi="宋体"/>
          <w:kern w:val="0"/>
          <w:szCs w:val="21"/>
          <w:u w:val="single"/>
        </w:rPr>
        <w:t xml:space="preserve"> /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发包人提供国外标准、规范的名称：</w:t>
      </w:r>
      <w:r>
        <w:rPr>
          <w:rFonts w:hint="eastAsia" w:ascii="宋体" w:hAnsi="宋体"/>
          <w:kern w:val="0"/>
          <w:szCs w:val="21"/>
          <w:u w:val="single"/>
        </w:rPr>
        <w:t xml:space="preserve"> / </w:t>
      </w:r>
      <w:r>
        <w:rPr>
          <w:rFonts w:hint="eastAsia" w:ascii="宋体" w:hAnsi="宋体"/>
          <w:kern w:val="0"/>
          <w:szCs w:val="21"/>
        </w:rPr>
        <w:t>。</w:t>
      </w:r>
    </w:p>
    <w:p>
      <w:pPr>
        <w:spacing w:line="360" w:lineRule="auto"/>
        <w:ind w:firstLine="420" w:firstLineChars="200"/>
        <w:jc w:val="left"/>
        <w:rPr>
          <w:rFonts w:ascii="宋体" w:hAnsi="宋体"/>
          <w:szCs w:val="21"/>
        </w:rPr>
      </w:pPr>
      <w:r>
        <w:rPr>
          <w:rFonts w:hint="eastAsia" w:ascii="宋体" w:hAnsi="宋体"/>
          <w:szCs w:val="21"/>
        </w:rPr>
        <w:t>1.4.3 发包人对工程的技术标准和功能要求的特殊要求：</w:t>
      </w:r>
      <w:r>
        <w:rPr>
          <w:rFonts w:hint="eastAsia" w:ascii="宋体" w:hAnsi="宋体"/>
          <w:kern w:val="0"/>
          <w:szCs w:val="21"/>
          <w:u w:val="single"/>
        </w:rPr>
        <w:t xml:space="preserve">/ </w:t>
      </w:r>
      <w:r>
        <w:rPr>
          <w:rFonts w:hint="eastAsia" w:ascii="宋体" w:hAnsi="宋体"/>
          <w:szCs w:val="21"/>
        </w:rPr>
        <w:t>。</w:t>
      </w:r>
    </w:p>
    <w:p>
      <w:pPr>
        <w:pStyle w:val="8"/>
        <w:spacing w:before="0" w:after="0" w:line="360" w:lineRule="auto"/>
        <w:ind w:firstLine="422" w:firstLineChars="200"/>
        <w:rPr>
          <w:sz w:val="21"/>
          <w:szCs w:val="21"/>
        </w:rPr>
      </w:pPr>
      <w:bookmarkStart w:id="518" w:name="_Toc532377324"/>
      <w:r>
        <w:rPr>
          <w:rFonts w:hint="eastAsia"/>
          <w:sz w:val="21"/>
          <w:szCs w:val="21"/>
        </w:rPr>
        <w:t>1.5 合同文件的优先顺序</w:t>
      </w:r>
      <w:bookmarkEnd w:id="518"/>
    </w:p>
    <w:p>
      <w:pPr>
        <w:spacing w:line="360" w:lineRule="auto"/>
        <w:ind w:firstLine="420" w:firstLineChars="200"/>
        <w:jc w:val="left"/>
        <w:rPr>
          <w:rFonts w:ascii="宋体" w:hAnsi="宋体"/>
          <w:szCs w:val="21"/>
        </w:rPr>
      </w:pPr>
      <w:r>
        <w:rPr>
          <w:rFonts w:hint="eastAsia" w:ascii="宋体" w:hAnsi="宋体"/>
          <w:szCs w:val="21"/>
        </w:rPr>
        <w:t>合同文件组成及优先顺序为：</w:t>
      </w:r>
      <w:r>
        <w:rPr>
          <w:rFonts w:hint="eastAsia" w:ascii="宋体" w:hAnsi="宋体"/>
          <w:szCs w:val="21"/>
          <w:u w:val="single"/>
        </w:rPr>
        <w:t>按照合同协议书</w:t>
      </w:r>
      <w:r>
        <w:rPr>
          <w:rFonts w:hint="eastAsia" w:ascii="宋体" w:hAnsi="宋体"/>
          <w:bCs/>
          <w:szCs w:val="21"/>
          <w:u w:val="single"/>
        </w:rPr>
        <w:t>〔</w:t>
      </w:r>
      <w:r>
        <w:rPr>
          <w:rFonts w:hint="eastAsia" w:ascii="宋体" w:hAnsi="宋体"/>
          <w:szCs w:val="21"/>
          <w:u w:val="single"/>
        </w:rPr>
        <w:t>第六条</w:t>
      </w:r>
      <w:r>
        <w:rPr>
          <w:rFonts w:hint="eastAsia" w:ascii="宋体" w:hAnsi="宋体"/>
          <w:bCs/>
          <w:szCs w:val="21"/>
          <w:u w:val="single"/>
        </w:rPr>
        <w:t>〕</w:t>
      </w:r>
      <w:r>
        <w:rPr>
          <w:rFonts w:hint="eastAsia" w:ascii="宋体" w:hAnsi="宋体"/>
          <w:szCs w:val="21"/>
          <w:u w:val="single"/>
        </w:rPr>
        <w:t>约定执行</w:t>
      </w:r>
      <w:r>
        <w:rPr>
          <w:rFonts w:hint="eastAsia" w:ascii="宋体" w:hAnsi="宋体"/>
          <w:szCs w:val="21"/>
        </w:rPr>
        <w:t>。</w:t>
      </w:r>
    </w:p>
    <w:p>
      <w:pPr>
        <w:pStyle w:val="8"/>
        <w:spacing w:before="0" w:after="0" w:line="360" w:lineRule="auto"/>
        <w:ind w:firstLine="422" w:firstLineChars="200"/>
        <w:rPr>
          <w:sz w:val="21"/>
          <w:szCs w:val="21"/>
        </w:rPr>
      </w:pPr>
      <w:bookmarkStart w:id="519" w:name="_Toc532377325"/>
      <w:r>
        <w:rPr>
          <w:rFonts w:hint="eastAsia"/>
          <w:sz w:val="21"/>
          <w:szCs w:val="21"/>
        </w:rPr>
        <w:t>1.6 图纸和承包人文件</w:t>
      </w:r>
      <w:bookmarkEnd w:id="519"/>
    </w:p>
    <w:p>
      <w:pPr>
        <w:spacing w:line="360" w:lineRule="auto"/>
        <w:ind w:firstLine="420" w:firstLineChars="200"/>
        <w:jc w:val="left"/>
        <w:rPr>
          <w:rFonts w:ascii="宋体" w:hAnsi="宋体"/>
          <w:szCs w:val="21"/>
        </w:rPr>
      </w:pPr>
      <w:r>
        <w:rPr>
          <w:rFonts w:hint="eastAsia" w:ascii="宋体" w:hAnsi="宋体"/>
          <w:szCs w:val="21"/>
        </w:rPr>
        <w:t>1.6.1 图纸的提供和交底</w:t>
      </w:r>
    </w:p>
    <w:p>
      <w:pPr>
        <w:spacing w:line="360" w:lineRule="auto"/>
        <w:ind w:firstLine="420" w:firstLineChars="200"/>
        <w:jc w:val="left"/>
        <w:rPr>
          <w:rFonts w:ascii="宋体" w:hAnsi="宋体"/>
          <w:szCs w:val="21"/>
        </w:rPr>
      </w:pPr>
      <w:r>
        <w:rPr>
          <w:rFonts w:hint="eastAsia" w:ascii="宋体" w:hAnsi="宋体"/>
          <w:szCs w:val="21"/>
        </w:rPr>
        <w:t>发包人向承包人提供图纸的期限：</w:t>
      </w:r>
      <w:r>
        <w:rPr>
          <w:rFonts w:hint="eastAsia" w:ascii="宋体" w:hAnsi="宋体"/>
          <w:szCs w:val="21"/>
          <w:u w:val="single"/>
        </w:rPr>
        <w:t>通用合同条款第7.3.2款</w:t>
      </w:r>
      <w:r>
        <w:rPr>
          <w:rFonts w:hint="eastAsia" w:ascii="宋体" w:hAnsi="宋体"/>
          <w:bCs/>
          <w:szCs w:val="21"/>
          <w:u w:val="single"/>
        </w:rPr>
        <w:t>〔</w:t>
      </w:r>
      <w:r>
        <w:rPr>
          <w:rFonts w:hint="eastAsia" w:ascii="宋体" w:hAnsi="宋体"/>
          <w:szCs w:val="21"/>
          <w:u w:val="single"/>
        </w:rPr>
        <w:t>开工通知</w:t>
      </w:r>
      <w:r>
        <w:rPr>
          <w:rFonts w:hint="eastAsia" w:ascii="宋体" w:hAnsi="宋体"/>
          <w:bCs/>
          <w:szCs w:val="21"/>
          <w:u w:val="single"/>
        </w:rPr>
        <w:t>〕</w:t>
      </w:r>
      <w:r>
        <w:rPr>
          <w:rFonts w:hint="eastAsia" w:ascii="宋体" w:hAnsi="宋体"/>
          <w:szCs w:val="21"/>
          <w:u w:val="single"/>
        </w:rPr>
        <w:t>载明的开工日期前14天</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发包人向承包人提供图纸的数量：</w:t>
      </w:r>
      <w:r>
        <w:rPr>
          <w:rFonts w:hint="eastAsia" w:ascii="宋体" w:hAnsi="宋体"/>
          <w:szCs w:val="21"/>
          <w:u w:val="single"/>
        </w:rPr>
        <w:t xml:space="preserve">  套</w:t>
      </w:r>
      <w:r>
        <w:rPr>
          <w:rFonts w:hint="eastAsia" w:ascii="宋体" w:hAnsi="宋体"/>
          <w:szCs w:val="21"/>
        </w:rPr>
        <w:t xml:space="preserve">； </w:t>
      </w:r>
    </w:p>
    <w:p>
      <w:pPr>
        <w:spacing w:line="360" w:lineRule="auto"/>
        <w:ind w:firstLine="420" w:firstLineChars="200"/>
        <w:jc w:val="left"/>
        <w:rPr>
          <w:rFonts w:ascii="宋体" w:hAnsi="宋体"/>
          <w:szCs w:val="21"/>
        </w:rPr>
      </w:pPr>
      <w:r>
        <w:rPr>
          <w:rFonts w:hint="eastAsia" w:ascii="宋体" w:hAnsi="宋体"/>
          <w:szCs w:val="21"/>
        </w:rPr>
        <w:t>发包人向承包人提供图纸的内容：</w:t>
      </w:r>
      <w:r>
        <w:rPr>
          <w:rFonts w:hint="eastAsia" w:ascii="宋体" w:hAnsi="宋体"/>
          <w:szCs w:val="21"/>
          <w:u w:val="single"/>
        </w:rPr>
        <w:t>工程承包范围内工程的施工图设计文件</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发包人组织承包人、监理人和设计人进行图纸会审和设计交底的时间：</w:t>
      </w:r>
      <w:r>
        <w:rPr>
          <w:rFonts w:hint="eastAsia" w:ascii="宋体" w:hAnsi="宋体"/>
          <w:szCs w:val="21"/>
          <w:u w:val="single"/>
        </w:rPr>
        <w:t>提供施工图后7天内</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u w:val="single"/>
        </w:rPr>
        <w:t>承包人可以书面方式通过监理人向发包人申请进行紧急的设计交底，发包人认为确有必要且条件许可时，应尽快组织实施承包人申请的设计交底。</w:t>
      </w:r>
    </w:p>
    <w:p>
      <w:pPr>
        <w:spacing w:line="360" w:lineRule="auto"/>
        <w:ind w:firstLine="420" w:firstLineChars="200"/>
        <w:jc w:val="left"/>
        <w:rPr>
          <w:rFonts w:ascii="宋体" w:hAnsi="宋体"/>
          <w:szCs w:val="21"/>
        </w:rPr>
      </w:pPr>
      <w:r>
        <w:rPr>
          <w:rFonts w:hint="eastAsia" w:ascii="宋体" w:hAnsi="宋体"/>
          <w:szCs w:val="21"/>
        </w:rPr>
        <w:t>1.6.2 图纸的错误</w:t>
      </w:r>
    </w:p>
    <w:p>
      <w:pPr>
        <w:spacing w:line="360" w:lineRule="auto"/>
        <w:ind w:firstLine="420" w:firstLineChars="200"/>
        <w:jc w:val="left"/>
        <w:rPr>
          <w:rFonts w:ascii="宋体" w:hAnsi="宋体"/>
          <w:szCs w:val="21"/>
        </w:rPr>
      </w:pPr>
      <w:r>
        <w:rPr>
          <w:rFonts w:hint="eastAsia" w:ascii="宋体" w:hAnsi="宋体"/>
          <w:szCs w:val="21"/>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pPr>
        <w:spacing w:line="360" w:lineRule="auto"/>
        <w:ind w:firstLine="420" w:firstLineChars="200"/>
        <w:jc w:val="left"/>
        <w:rPr>
          <w:rFonts w:ascii="宋体" w:hAnsi="宋体"/>
          <w:szCs w:val="21"/>
          <w:u w:val="single"/>
        </w:rPr>
      </w:pPr>
      <w:r>
        <w:rPr>
          <w:rFonts w:hint="eastAsia" w:ascii="宋体" w:hAnsi="宋体"/>
          <w:szCs w:val="21"/>
        </w:rPr>
        <w:t>承包人不得利用图纸的差错、遗漏或缺陷，从中获得不正当的利益。</w:t>
      </w:r>
    </w:p>
    <w:p>
      <w:pPr>
        <w:spacing w:line="360" w:lineRule="auto"/>
        <w:ind w:firstLine="420" w:firstLineChars="200"/>
        <w:jc w:val="left"/>
        <w:rPr>
          <w:rFonts w:ascii="宋体" w:hAnsi="宋体"/>
          <w:szCs w:val="21"/>
        </w:rPr>
      </w:pPr>
      <w:r>
        <w:rPr>
          <w:rFonts w:hint="eastAsia" w:ascii="宋体" w:hAnsi="宋体"/>
          <w:szCs w:val="21"/>
        </w:rPr>
        <w:t>1.6.4 承包人文件</w:t>
      </w:r>
    </w:p>
    <w:p>
      <w:pPr>
        <w:spacing w:line="360" w:lineRule="auto"/>
        <w:ind w:firstLine="420" w:firstLineChars="200"/>
        <w:jc w:val="left"/>
        <w:rPr>
          <w:rFonts w:ascii="宋体" w:hAnsi="宋体"/>
          <w:szCs w:val="21"/>
        </w:rPr>
      </w:pPr>
      <w:r>
        <w:rPr>
          <w:rFonts w:hint="eastAsia" w:ascii="宋体" w:hAnsi="宋体"/>
          <w:szCs w:val="21"/>
        </w:rPr>
        <w:t>需要由承包人提供的书面文件，包括：</w:t>
      </w:r>
      <w:r>
        <w:rPr>
          <w:rFonts w:hint="eastAsia" w:ascii="宋体" w:hAnsi="宋体"/>
          <w:szCs w:val="21"/>
          <w:u w:val="single"/>
        </w:rPr>
        <w:t>施工组织设计、专项施工方案、</w:t>
      </w:r>
      <w:r>
        <w:rPr>
          <w:rFonts w:ascii="宋体" w:hAnsi="宋体"/>
          <w:szCs w:val="21"/>
          <w:u w:val="single"/>
        </w:rPr>
        <w:t>危险性较大分部分项工程施工方案</w:t>
      </w:r>
      <w:r>
        <w:rPr>
          <w:rFonts w:hint="eastAsia" w:ascii="宋体" w:hAnsi="宋体"/>
          <w:szCs w:val="21"/>
          <w:u w:val="single"/>
        </w:rPr>
        <w:t>（如有）、安全应急方案、进度计划、报表及计划、竣工资料及施工过程中因工程变更需要报送的施工方案、施工过程中涉及工程价款变更的相关资料、完整的竣工结算资料等</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承包人提供文件的期限、数量：</w:t>
      </w:r>
    </w:p>
    <w:p>
      <w:pPr>
        <w:spacing w:line="360" w:lineRule="auto"/>
        <w:ind w:firstLine="420" w:firstLineChars="200"/>
        <w:jc w:val="left"/>
        <w:rPr>
          <w:rFonts w:ascii="宋体" w:hAnsi="宋体"/>
          <w:szCs w:val="21"/>
          <w:u w:val="single"/>
        </w:rPr>
      </w:pPr>
      <w:r>
        <w:rPr>
          <w:rFonts w:hint="eastAsia" w:ascii="宋体" w:hAnsi="宋体"/>
          <w:szCs w:val="21"/>
        </w:rPr>
        <w:t>（1）</w:t>
      </w:r>
      <w:r>
        <w:rPr>
          <w:rFonts w:hint="eastAsia" w:ascii="宋体" w:hAnsi="宋体"/>
          <w:szCs w:val="21"/>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u w:val="single"/>
        </w:rPr>
        <w:t>每月  日前报送月工程进度完成报表</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（3）合同另有约定的，按照其约定。</w:t>
      </w:r>
    </w:p>
    <w:p>
      <w:pPr>
        <w:spacing w:line="360" w:lineRule="auto"/>
        <w:ind w:firstLine="420" w:firstLineChars="200"/>
        <w:jc w:val="left"/>
        <w:rPr>
          <w:rFonts w:ascii="宋体" w:hAnsi="宋体"/>
          <w:szCs w:val="21"/>
          <w:u w:val="single"/>
        </w:rPr>
      </w:pPr>
      <w:r>
        <w:rPr>
          <w:rFonts w:hint="eastAsia" w:ascii="宋体" w:hAnsi="宋体"/>
          <w:szCs w:val="21"/>
        </w:rPr>
        <w:t>承包人提供的文件的形式：□采用电子招标的，投标文件以电子文档为准，其他文件以书面文件为准；□采用纸质招标的，当书面文件与电子文档不一致的，以书面文件为准。监理人审批承包人文件的期限：</w:t>
      </w:r>
      <w:r>
        <w:rPr>
          <w:rFonts w:hint="eastAsia" w:ascii="宋体" w:hAnsi="宋体"/>
          <w:szCs w:val="21"/>
          <w:u w:val="single"/>
        </w:rPr>
        <w:t>收到施工组织设计和工程总体进度计划及当年年度施工进度计划后7天内；合同另有约定的，从其约定</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承包人提供的文件的费用：</w:t>
      </w:r>
      <w:r>
        <w:rPr>
          <w:rFonts w:hint="eastAsia" w:ascii="宋体" w:hAnsi="宋体"/>
          <w:szCs w:val="21"/>
          <w:u w:val="single"/>
        </w:rPr>
        <w:t>由承包人承担</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发包人审批承包人文件的期限：</w:t>
      </w:r>
      <w:r>
        <w:rPr>
          <w:rFonts w:hint="eastAsia" w:ascii="宋体" w:hAnsi="宋体"/>
          <w:szCs w:val="21"/>
          <w:u w:val="single"/>
        </w:rPr>
        <w:t>收到后14天内；合同另有约定的，从其约定</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监理人、发包人的修改意见和审批，不免除或减轻承包人对该工作、工程、材料、工程设备等应承担的责任和义务</w:t>
      </w:r>
      <w:r>
        <w:rPr>
          <w:rFonts w:hint="eastAsia" w:ascii="宋体" w:hAnsi="宋体"/>
          <w:szCs w:val="21"/>
        </w:rPr>
        <w:t>。</w:t>
      </w:r>
    </w:p>
    <w:p>
      <w:pPr>
        <w:pStyle w:val="8"/>
        <w:spacing w:before="0" w:after="0" w:line="360" w:lineRule="auto"/>
        <w:ind w:firstLine="422" w:firstLineChars="200"/>
        <w:rPr>
          <w:sz w:val="21"/>
          <w:szCs w:val="21"/>
        </w:rPr>
      </w:pPr>
      <w:bookmarkStart w:id="520" w:name="_Toc532377326"/>
      <w:r>
        <w:rPr>
          <w:rFonts w:hint="eastAsia"/>
          <w:sz w:val="21"/>
          <w:szCs w:val="21"/>
        </w:rPr>
        <w:t>1.7 联络</w:t>
      </w:r>
      <w:bookmarkEnd w:id="520"/>
    </w:p>
    <w:p>
      <w:pPr>
        <w:spacing w:line="360" w:lineRule="auto"/>
        <w:ind w:firstLine="420" w:firstLineChars="200"/>
        <w:jc w:val="left"/>
        <w:rPr>
          <w:rFonts w:ascii="宋体" w:hAnsi="宋体"/>
          <w:kern w:val="0"/>
          <w:szCs w:val="21"/>
        </w:rPr>
      </w:pPr>
      <w:r>
        <w:rPr>
          <w:rFonts w:hint="eastAsia" w:ascii="宋体" w:hAnsi="宋体"/>
          <w:kern w:val="0"/>
          <w:szCs w:val="21"/>
        </w:rPr>
        <w:t>1.7.1 发包人和承包人应当在</w:t>
      </w:r>
      <w:r>
        <w:rPr>
          <w:rFonts w:hint="eastAsia" w:ascii="宋体" w:hAnsi="宋体"/>
          <w:szCs w:val="21"/>
          <w:u w:val="single"/>
        </w:rPr>
        <w:t xml:space="preserve"> 1 </w:t>
      </w:r>
      <w:r>
        <w:rPr>
          <w:rFonts w:hint="eastAsia" w:ascii="宋体" w:hAnsi="宋体"/>
          <w:kern w:val="0"/>
          <w:szCs w:val="21"/>
        </w:rPr>
        <w:t>天内将与合同有关的通知、批准、证明、证书、指示、指令、要求、请求、同意、意见、确定和决定等书面函件送达对方当事人，并办理书面签收手续。</w:t>
      </w:r>
    </w:p>
    <w:p>
      <w:pPr>
        <w:tabs>
          <w:tab w:val="left" w:pos="7513"/>
        </w:tabs>
        <w:spacing w:line="360" w:lineRule="auto"/>
        <w:ind w:firstLine="420" w:firstLineChars="200"/>
        <w:jc w:val="left"/>
        <w:rPr>
          <w:rFonts w:ascii="宋体" w:hAnsi="宋体"/>
          <w:kern w:val="0"/>
          <w:szCs w:val="21"/>
        </w:rPr>
      </w:pPr>
      <w:r>
        <w:rPr>
          <w:rFonts w:hint="eastAsia" w:ascii="宋体" w:hAnsi="宋体"/>
          <w:kern w:val="0"/>
          <w:szCs w:val="21"/>
        </w:rPr>
        <w:t>1.7.2 发包人接收文件地点：</w:t>
      </w:r>
      <w:r>
        <w:rPr>
          <w:rFonts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发包人指定的接收人：</w:t>
      </w:r>
      <w:bookmarkStart w:id="521" w:name="_Hlk528493983"/>
      <w:bookmarkEnd w:id="521"/>
      <w:r>
        <w:rPr>
          <w:rFonts w:ascii="宋体" w:hAnsi="宋体"/>
          <w:kern w:val="0"/>
          <w:szCs w:val="21"/>
          <w:u w:val="single"/>
        </w:rPr>
        <w:t xml:space="preserve">                             </w:t>
      </w:r>
      <w:r>
        <w:rPr>
          <w:rFonts w:hint="eastAsia" w:ascii="宋体" w:hAnsi="宋体"/>
          <w:kern w:val="0"/>
          <w:szCs w:val="21"/>
        </w:rPr>
        <w:t>；</w:t>
      </w:r>
    </w:p>
    <w:p>
      <w:pPr>
        <w:tabs>
          <w:tab w:val="left" w:pos="7513"/>
        </w:tabs>
        <w:spacing w:line="360" w:lineRule="auto"/>
        <w:ind w:firstLine="420" w:firstLineChars="200"/>
        <w:jc w:val="left"/>
        <w:rPr>
          <w:rFonts w:ascii="宋体" w:hAnsi="宋体"/>
          <w:kern w:val="0"/>
          <w:szCs w:val="21"/>
        </w:rPr>
      </w:pPr>
      <w:r>
        <w:rPr>
          <w:rFonts w:hint="eastAsia" w:ascii="宋体" w:hAnsi="宋体"/>
          <w:kern w:val="0"/>
          <w:szCs w:val="21"/>
        </w:rPr>
        <w:t>承包人接收文件地点：</w:t>
      </w:r>
      <w:r>
        <w:rPr>
          <w:rFonts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承包人指定的接收人：</w:t>
      </w:r>
      <w:r>
        <w:rPr>
          <w:rFonts w:ascii="宋体" w:hAnsi="宋体"/>
          <w:kern w:val="0"/>
          <w:szCs w:val="21"/>
          <w:u w:val="single"/>
        </w:rPr>
        <w:t xml:space="preserve">                             </w:t>
      </w:r>
      <w:r>
        <w:rPr>
          <w:rFonts w:hint="eastAsia" w:ascii="宋体" w:hAnsi="宋体"/>
          <w:kern w:val="0"/>
          <w:szCs w:val="21"/>
        </w:rPr>
        <w:t>；</w:t>
      </w:r>
    </w:p>
    <w:p>
      <w:pPr>
        <w:tabs>
          <w:tab w:val="left" w:pos="7371"/>
        </w:tabs>
        <w:spacing w:line="360" w:lineRule="auto"/>
        <w:ind w:firstLine="420" w:firstLineChars="200"/>
        <w:jc w:val="left"/>
        <w:rPr>
          <w:rFonts w:ascii="宋体" w:hAnsi="宋体"/>
          <w:kern w:val="0"/>
          <w:szCs w:val="21"/>
        </w:rPr>
      </w:pPr>
      <w:r>
        <w:rPr>
          <w:rFonts w:hint="eastAsia" w:ascii="宋体" w:hAnsi="宋体"/>
          <w:kern w:val="0"/>
          <w:szCs w:val="21"/>
        </w:rPr>
        <w:t>监理人接收文件地点：</w:t>
      </w:r>
      <w:r>
        <w:rPr>
          <w:rFonts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监理人指定的接收人：</w:t>
      </w:r>
      <w:r>
        <w:rPr>
          <w:rFonts w:ascii="宋体" w:hAnsi="宋体"/>
          <w:kern w:val="0"/>
          <w:szCs w:val="21"/>
          <w:u w:val="single"/>
        </w:rPr>
        <w:t xml:space="preserve">                             </w:t>
      </w:r>
      <w:r>
        <w:rPr>
          <w:rFonts w:hint="eastAsia" w:ascii="宋体" w:hAnsi="宋体"/>
          <w:kern w:val="0"/>
          <w:szCs w:val="21"/>
        </w:rPr>
        <w:t>。</w:t>
      </w:r>
    </w:p>
    <w:p>
      <w:pPr>
        <w:pStyle w:val="8"/>
        <w:spacing w:before="0" w:after="0" w:line="360" w:lineRule="auto"/>
        <w:ind w:firstLine="422" w:firstLineChars="200"/>
        <w:rPr>
          <w:sz w:val="21"/>
          <w:szCs w:val="21"/>
        </w:rPr>
      </w:pPr>
      <w:bookmarkStart w:id="522" w:name="_Toc532377327"/>
      <w:r>
        <w:rPr>
          <w:rFonts w:hint="eastAsia"/>
          <w:sz w:val="21"/>
          <w:szCs w:val="21"/>
        </w:rPr>
        <w:t>1.8 严禁贿赂</w:t>
      </w:r>
      <w:bookmarkEnd w:id="522"/>
    </w:p>
    <w:p>
      <w:pPr>
        <w:spacing w:line="360" w:lineRule="auto"/>
        <w:ind w:firstLine="420" w:firstLineChars="200"/>
        <w:jc w:val="left"/>
        <w:rPr>
          <w:rFonts w:ascii="宋体" w:hAnsi="宋体"/>
          <w:kern w:val="0"/>
          <w:szCs w:val="21"/>
        </w:rPr>
      </w:pPr>
      <w:r>
        <w:rPr>
          <w:rFonts w:hint="eastAsia" w:ascii="宋体" w:hAnsi="宋体"/>
          <w:kern w:val="0"/>
          <w:szCs w:val="21"/>
        </w:rPr>
        <w:t>本款补充以下内容：</w:t>
      </w:r>
    </w:p>
    <w:p>
      <w:pPr>
        <w:spacing w:line="360" w:lineRule="auto"/>
        <w:ind w:firstLine="420" w:firstLineChars="200"/>
        <w:jc w:val="left"/>
        <w:rPr>
          <w:rFonts w:ascii="宋体" w:hAnsi="宋体"/>
          <w:kern w:val="0"/>
          <w:szCs w:val="21"/>
          <w:u w:val="single"/>
        </w:rPr>
      </w:pPr>
      <w:r>
        <w:rPr>
          <w:rFonts w:hint="eastAsia" w:ascii="宋体" w:hAnsi="宋体"/>
          <w:kern w:val="0"/>
          <w:szCs w:val="21"/>
        </w:rPr>
        <w:t>在合同执行过程中，合同当事人应严格履行附件8《廉洁从业协议》。</w:t>
      </w:r>
    </w:p>
    <w:p>
      <w:pPr>
        <w:pStyle w:val="8"/>
        <w:spacing w:before="0" w:after="0" w:line="360" w:lineRule="auto"/>
        <w:ind w:firstLine="422" w:firstLineChars="200"/>
        <w:rPr>
          <w:sz w:val="21"/>
          <w:szCs w:val="21"/>
        </w:rPr>
      </w:pPr>
      <w:bookmarkStart w:id="523" w:name="_Toc532377328"/>
      <w:r>
        <w:rPr>
          <w:rFonts w:hint="eastAsia"/>
          <w:sz w:val="21"/>
          <w:szCs w:val="21"/>
        </w:rPr>
        <w:t>1.10 交通运输</w:t>
      </w:r>
      <w:bookmarkEnd w:id="523"/>
    </w:p>
    <w:p>
      <w:pPr>
        <w:spacing w:line="360" w:lineRule="auto"/>
        <w:ind w:firstLine="420" w:firstLineChars="200"/>
        <w:jc w:val="left"/>
        <w:rPr>
          <w:rFonts w:ascii="宋体" w:hAnsi="宋体"/>
          <w:szCs w:val="21"/>
        </w:rPr>
      </w:pPr>
      <w:r>
        <w:rPr>
          <w:rFonts w:hint="eastAsia" w:ascii="宋体" w:hAnsi="宋体"/>
          <w:szCs w:val="21"/>
        </w:rPr>
        <w:t>1</w:t>
      </w:r>
      <w:bookmarkStart w:id="524" w:name="_Toc300934943"/>
      <w:bookmarkStart w:id="525" w:name="_Toc318581155"/>
      <w:bookmarkStart w:id="526" w:name="_Toc303539100"/>
      <w:bookmarkStart w:id="527" w:name="_Toc304295521"/>
      <w:bookmarkStart w:id="528" w:name="_Toc312677986"/>
      <w:r>
        <w:rPr>
          <w:rFonts w:hint="eastAsia" w:ascii="宋体" w:hAnsi="宋体"/>
          <w:szCs w:val="21"/>
        </w:rPr>
        <w:t>.10.1 出入现场的权利</w:t>
      </w:r>
    </w:p>
    <w:p>
      <w:pPr>
        <w:spacing w:line="360" w:lineRule="auto"/>
        <w:ind w:firstLine="420" w:firstLineChars="200"/>
        <w:jc w:val="left"/>
        <w:rPr>
          <w:rFonts w:ascii="宋体" w:hAnsi="宋体"/>
          <w:kern w:val="0"/>
          <w:szCs w:val="21"/>
        </w:rPr>
      </w:pPr>
      <w:r>
        <w:rPr>
          <w:rFonts w:hint="eastAsia" w:ascii="宋体" w:hAnsi="宋体"/>
          <w:szCs w:val="21"/>
        </w:rPr>
        <w:t>关于出入现场的权利的约定：</w:t>
      </w:r>
      <w:r>
        <w:rPr>
          <w:rFonts w:hint="eastAsia" w:ascii="宋体" w:hAnsi="宋体"/>
          <w:szCs w:val="21"/>
          <w:u w:val="single"/>
        </w:rPr>
        <w:t>由承包人负责现场出入的管理，发包人、监理人及其他协作单位有权出入</w:t>
      </w:r>
      <w:r>
        <w:rPr>
          <w:rFonts w:hint="eastAsia" w:ascii="宋体" w:hAnsi="宋体"/>
          <w:szCs w:val="21"/>
        </w:rPr>
        <w:t>。</w:t>
      </w:r>
    </w:p>
    <w:bookmarkEnd w:id="524"/>
    <w:bookmarkEnd w:id="525"/>
    <w:bookmarkEnd w:id="526"/>
    <w:bookmarkEnd w:id="527"/>
    <w:bookmarkEnd w:id="528"/>
    <w:p>
      <w:pPr>
        <w:spacing w:line="360" w:lineRule="auto"/>
        <w:ind w:firstLine="420" w:firstLineChars="200"/>
        <w:jc w:val="left"/>
        <w:rPr>
          <w:rFonts w:ascii="宋体" w:hAnsi="宋体"/>
          <w:szCs w:val="21"/>
        </w:rPr>
      </w:pPr>
      <w:r>
        <w:rPr>
          <w:rFonts w:hint="eastAsia" w:ascii="宋体" w:hAnsi="宋体"/>
          <w:szCs w:val="21"/>
        </w:rPr>
        <w:t>1.10.2 场外交通</w:t>
      </w:r>
    </w:p>
    <w:p>
      <w:pPr>
        <w:spacing w:line="360" w:lineRule="auto"/>
        <w:ind w:firstLine="420" w:firstLineChars="200"/>
        <w:jc w:val="left"/>
        <w:rPr>
          <w:rFonts w:ascii="宋体" w:hAnsi="宋体"/>
          <w:kern w:val="0"/>
          <w:szCs w:val="21"/>
        </w:rPr>
      </w:pPr>
      <w:r>
        <w:rPr>
          <w:rFonts w:hint="eastAsia" w:ascii="宋体" w:hAnsi="宋体"/>
          <w:kern w:val="0"/>
          <w:szCs w:val="21"/>
        </w:rPr>
        <w:t>承包人应遵守有关交通法规，执行有关道路限速、限行、禁止超载的规定，并配合交通管理部门的监督和检查。场外交通以施工场地移交时的现状为准。</w:t>
      </w:r>
    </w:p>
    <w:p>
      <w:pPr>
        <w:spacing w:line="360" w:lineRule="auto"/>
        <w:ind w:firstLine="420" w:firstLineChars="200"/>
        <w:jc w:val="left"/>
        <w:rPr>
          <w:rFonts w:ascii="宋体" w:hAnsi="宋体"/>
          <w:szCs w:val="21"/>
        </w:rPr>
      </w:pPr>
      <w:r>
        <w:rPr>
          <w:rFonts w:hint="eastAsia" w:ascii="宋体" w:hAnsi="宋体"/>
          <w:szCs w:val="21"/>
        </w:rPr>
        <w:t>1</w:t>
      </w:r>
      <w:bookmarkStart w:id="529" w:name="_Toc304295522"/>
      <w:bookmarkStart w:id="530" w:name="_Toc300934944"/>
      <w:bookmarkStart w:id="531" w:name="_Toc318581156"/>
      <w:bookmarkStart w:id="532" w:name="_Toc312677987"/>
      <w:bookmarkStart w:id="533" w:name="_Toc303539101"/>
      <w:r>
        <w:rPr>
          <w:rFonts w:hint="eastAsia" w:ascii="宋体" w:hAnsi="宋体"/>
          <w:szCs w:val="21"/>
        </w:rPr>
        <w:t>.10.3 场内交通</w:t>
      </w:r>
    </w:p>
    <w:p>
      <w:pPr>
        <w:spacing w:line="360" w:lineRule="auto"/>
        <w:ind w:firstLine="420" w:firstLineChars="200"/>
        <w:jc w:val="left"/>
        <w:rPr>
          <w:rFonts w:ascii="宋体" w:hAnsi="宋体"/>
          <w:szCs w:val="21"/>
          <w:u w:val="single"/>
        </w:rPr>
      </w:pPr>
      <w:r>
        <w:rPr>
          <w:rFonts w:hint="eastAsia" w:ascii="宋体" w:hAnsi="宋体"/>
          <w:kern w:val="0"/>
          <w:szCs w:val="21"/>
        </w:rPr>
        <w:t>关于场外交通和场内交通的边界的约定：</w:t>
      </w:r>
      <w:r>
        <w:rPr>
          <w:rFonts w:hint="eastAsia" w:ascii="宋体" w:hAnsi="宋体"/>
          <w:szCs w:val="21"/>
          <w:u w:val="single"/>
        </w:rPr>
        <w:t>以合同工程用地红线为界，用地红线外为场外交通，用地红线范围内为场内交通（场外道路穿越场内的除外）</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kern w:val="0"/>
          <w:szCs w:val="21"/>
        </w:rPr>
        <w:t>关于发包人向承包人免费提供满足工程施工需要的场内道路和交通设施的约定：</w:t>
      </w:r>
      <w:r>
        <w:rPr>
          <w:rFonts w:hint="eastAsia" w:ascii="宋体" w:hAnsi="宋体"/>
          <w:kern w:val="0"/>
          <w:szCs w:val="21"/>
          <w:u w:val="single"/>
        </w:rPr>
        <w:t>以施工场地移交时的现状为准</w:t>
      </w:r>
      <w:r>
        <w:rPr>
          <w:rFonts w:hint="eastAsia" w:ascii="宋体" w:hAnsi="宋体"/>
          <w:szCs w:val="21"/>
        </w:rPr>
        <w:t>。</w:t>
      </w:r>
    </w:p>
    <w:bookmarkEnd w:id="529"/>
    <w:bookmarkEnd w:id="530"/>
    <w:bookmarkEnd w:id="531"/>
    <w:bookmarkEnd w:id="532"/>
    <w:bookmarkEnd w:id="533"/>
    <w:p>
      <w:pPr>
        <w:spacing w:line="360" w:lineRule="auto"/>
        <w:ind w:firstLine="420" w:firstLineChars="200"/>
        <w:jc w:val="left"/>
        <w:rPr>
          <w:rFonts w:ascii="宋体" w:hAnsi="宋体"/>
          <w:szCs w:val="21"/>
        </w:rPr>
      </w:pPr>
      <w:bookmarkStart w:id="534" w:name="_Toc318581157"/>
      <w:r>
        <w:rPr>
          <w:rFonts w:hint="eastAsia" w:ascii="宋体" w:hAnsi="宋体"/>
          <w:szCs w:val="21"/>
        </w:rPr>
        <w:t>1.10.4 超大件和超重件的运输</w:t>
      </w:r>
    </w:p>
    <w:p>
      <w:pPr>
        <w:spacing w:line="360" w:lineRule="auto"/>
        <w:ind w:firstLine="420" w:firstLineChars="200"/>
        <w:jc w:val="left"/>
        <w:rPr>
          <w:rFonts w:ascii="宋体" w:hAnsi="宋体"/>
          <w:szCs w:val="21"/>
        </w:rPr>
      </w:pPr>
      <w:r>
        <w:rPr>
          <w:rFonts w:hint="eastAsia" w:ascii="宋体" w:hAnsi="宋体"/>
          <w:szCs w:val="21"/>
        </w:rPr>
        <w:t>运输超大件或超重件所需的道路和桥梁临时加固改造费用和其他有关费用由</w:t>
      </w:r>
      <w:r>
        <w:rPr>
          <w:rFonts w:hint="eastAsia" w:ascii="宋体" w:hAnsi="宋体"/>
          <w:szCs w:val="21"/>
          <w:u w:val="single"/>
        </w:rPr>
        <w:t>发包人</w:t>
      </w:r>
      <w:r>
        <w:rPr>
          <w:rFonts w:hint="eastAsia" w:ascii="宋体" w:hAnsi="宋体"/>
          <w:szCs w:val="21"/>
        </w:rPr>
        <w:t>承担。</w:t>
      </w:r>
    </w:p>
    <w:bookmarkEnd w:id="534"/>
    <w:p>
      <w:pPr>
        <w:pStyle w:val="8"/>
        <w:spacing w:before="0" w:after="0" w:line="360" w:lineRule="auto"/>
        <w:ind w:firstLine="422" w:firstLineChars="200"/>
        <w:rPr>
          <w:sz w:val="21"/>
          <w:szCs w:val="21"/>
        </w:rPr>
      </w:pPr>
      <w:bookmarkStart w:id="535" w:name="_Toc532377329"/>
      <w:r>
        <w:rPr>
          <w:rFonts w:hint="eastAsia"/>
          <w:sz w:val="21"/>
          <w:szCs w:val="21"/>
        </w:rPr>
        <w:t>1.11 知识产权</w:t>
      </w:r>
      <w:bookmarkEnd w:id="535"/>
    </w:p>
    <w:p>
      <w:pPr>
        <w:spacing w:line="360" w:lineRule="auto"/>
        <w:ind w:firstLine="420" w:firstLineChars="200"/>
        <w:jc w:val="left"/>
        <w:rPr>
          <w:rFonts w:ascii="宋体" w:hAnsi="宋体"/>
          <w:szCs w:val="21"/>
        </w:rPr>
      </w:pPr>
      <w:r>
        <w:rPr>
          <w:rFonts w:hint="eastAsia" w:ascii="宋体" w:hAnsi="宋体"/>
          <w:szCs w:val="21"/>
        </w:rPr>
        <w:t>1.11.1 关于发包人提供给承包人的图纸、发包人为实施工程自行编制或委托编制的技术规范以及反映发包人关于合同要求或其他类似性质的文件的著作权的归属：</w:t>
      </w:r>
      <w:r>
        <w:rPr>
          <w:rFonts w:hint="eastAsia" w:ascii="宋体" w:hAnsi="宋体"/>
          <w:szCs w:val="21"/>
          <w:u w:val="single"/>
        </w:rPr>
        <w:t>属于发包人</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关于发包人提供的上述文件的使用限制的要求：</w:t>
      </w:r>
      <w:r>
        <w:rPr>
          <w:rFonts w:hint="eastAsia" w:ascii="宋体" w:hAnsi="宋体"/>
          <w:szCs w:val="21"/>
          <w:u w:val="single"/>
        </w:rPr>
        <w:t>按通用合同条款执行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1.11.4 承包人在施工过程中所采用的专利、专有技术、技术秘密的使用费的承担方式：</w:t>
      </w:r>
      <w:r>
        <w:rPr>
          <w:rFonts w:hint="eastAsia" w:ascii="宋体" w:hAnsi="宋体"/>
          <w:szCs w:val="21"/>
          <w:u w:val="single"/>
        </w:rPr>
        <w:t>承包人在合同签订前和签订时已确定采用的专利、专有技术、技术秘密的使用费已包含在签约合同价中。</w:t>
      </w:r>
    </w:p>
    <w:p>
      <w:pPr>
        <w:pStyle w:val="8"/>
        <w:spacing w:before="0" w:after="0" w:line="360" w:lineRule="auto"/>
        <w:ind w:firstLine="422" w:firstLineChars="200"/>
        <w:rPr>
          <w:sz w:val="21"/>
          <w:szCs w:val="21"/>
        </w:rPr>
      </w:pPr>
      <w:bookmarkStart w:id="536" w:name="_Toc532377330"/>
      <w:r>
        <w:rPr>
          <w:rFonts w:hint="eastAsia"/>
          <w:sz w:val="21"/>
          <w:szCs w:val="21"/>
        </w:rPr>
        <w:t>1.13工程量清单错误的修正</w:t>
      </w:r>
      <w:bookmarkEnd w:id="536"/>
    </w:p>
    <w:p>
      <w:pPr>
        <w:spacing w:line="360" w:lineRule="auto"/>
        <w:ind w:firstLine="420" w:firstLineChars="200"/>
        <w:jc w:val="left"/>
        <w:rPr>
          <w:rFonts w:ascii="宋体" w:hAnsi="宋体"/>
          <w:szCs w:val="21"/>
        </w:rPr>
      </w:pPr>
      <w:r>
        <w:rPr>
          <w:rFonts w:hint="eastAsia" w:ascii="宋体" w:hAnsi="宋体"/>
          <w:szCs w:val="21"/>
        </w:rPr>
        <w:t>出现工程量清单错误时，责任和权利划分：</w:t>
      </w:r>
      <w:r>
        <w:rPr>
          <w:rFonts w:hint="eastAsia" w:ascii="宋体" w:hAnsi="宋体"/>
          <w:szCs w:val="21"/>
          <w:u w:val="single"/>
        </w:rPr>
        <w:t>按相关规定</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出现工程量清单错误时，是否调整合同价格：</w:t>
      </w:r>
      <w:r>
        <w:rPr>
          <w:rFonts w:hint="eastAsia" w:ascii="宋体" w:hAnsi="宋体"/>
          <w:szCs w:val="21"/>
          <w:u w:val="single"/>
        </w:rPr>
        <w:t>按相关规定</w:t>
      </w:r>
      <w:r>
        <w:rPr>
          <w:rFonts w:hint="eastAsia" w:ascii="宋体" w:hAnsi="宋体"/>
          <w:kern w:val="0"/>
          <w:szCs w:val="21"/>
        </w:rPr>
        <w:t>。</w:t>
      </w:r>
    </w:p>
    <w:p>
      <w:pPr>
        <w:spacing w:line="360" w:lineRule="auto"/>
        <w:ind w:firstLine="420" w:firstLineChars="200"/>
        <w:jc w:val="left"/>
        <w:rPr>
          <w:rFonts w:ascii="宋体" w:hAnsi="宋体"/>
          <w:szCs w:val="21"/>
        </w:rPr>
      </w:pPr>
      <w:r>
        <w:rPr>
          <w:rFonts w:hint="eastAsia" w:ascii="宋体" w:hAnsi="宋体"/>
          <w:szCs w:val="21"/>
        </w:rPr>
        <w:t>允许调整合同价格的工程量偏差范围：</w:t>
      </w:r>
      <w:r>
        <w:rPr>
          <w:rFonts w:hint="eastAsia" w:ascii="宋体" w:hAnsi="宋体"/>
          <w:szCs w:val="21"/>
          <w:u w:val="single"/>
        </w:rPr>
        <w:t>按相关规定</w:t>
      </w:r>
      <w:r>
        <w:rPr>
          <w:rFonts w:hint="eastAsia" w:ascii="宋体" w:hAnsi="宋体"/>
          <w:szCs w:val="21"/>
        </w:rPr>
        <w:t>。</w:t>
      </w:r>
    </w:p>
    <w:p>
      <w:pPr>
        <w:pStyle w:val="7"/>
        <w:spacing w:before="120" w:beforeLines="50" w:after="120" w:afterLines="50" w:line="360" w:lineRule="auto"/>
        <w:rPr>
          <w:sz w:val="21"/>
          <w:szCs w:val="21"/>
        </w:rPr>
      </w:pPr>
      <w:bookmarkStart w:id="537" w:name="_Toc532375609"/>
      <w:bookmarkStart w:id="538" w:name="_Toc532377331"/>
      <w:bookmarkStart w:id="539" w:name="_Toc351203634"/>
      <w:r>
        <w:rPr>
          <w:rFonts w:hint="eastAsia"/>
          <w:sz w:val="21"/>
          <w:szCs w:val="21"/>
        </w:rPr>
        <w:t>2</w:t>
      </w:r>
      <w:bookmarkStart w:id="540" w:name="_Toc296347156"/>
      <w:bookmarkStart w:id="541" w:name="_Toc292559867"/>
      <w:bookmarkStart w:id="542" w:name="_Toc297120457"/>
      <w:bookmarkStart w:id="543" w:name="_Toc297048343"/>
      <w:bookmarkStart w:id="544" w:name="_Toc296891197"/>
      <w:bookmarkStart w:id="545" w:name="_Toc292559362"/>
      <w:bookmarkStart w:id="546" w:name="_Toc296346658"/>
      <w:bookmarkStart w:id="547" w:name="_Toc296890985"/>
      <w:bookmarkStart w:id="548" w:name="_Toc296944496"/>
      <w:bookmarkStart w:id="549" w:name="_Toc296503157"/>
      <w:r>
        <w:rPr>
          <w:rFonts w:hint="eastAsia"/>
          <w:sz w:val="21"/>
          <w:szCs w:val="21"/>
        </w:rPr>
        <w:t>. 发包人</w:t>
      </w:r>
      <w:bookmarkEnd w:id="537"/>
      <w:bookmarkEnd w:id="538"/>
      <w:bookmarkEnd w:id="539"/>
    </w:p>
    <w:bookmarkEnd w:id="540"/>
    <w:bookmarkEnd w:id="541"/>
    <w:bookmarkEnd w:id="542"/>
    <w:bookmarkEnd w:id="543"/>
    <w:bookmarkEnd w:id="544"/>
    <w:bookmarkEnd w:id="545"/>
    <w:bookmarkEnd w:id="546"/>
    <w:bookmarkEnd w:id="547"/>
    <w:bookmarkEnd w:id="548"/>
    <w:bookmarkEnd w:id="549"/>
    <w:p>
      <w:pPr>
        <w:spacing w:line="360" w:lineRule="auto"/>
        <w:ind w:firstLine="420" w:firstLineChars="200"/>
        <w:jc w:val="left"/>
        <w:rPr>
          <w:rFonts w:ascii="宋体" w:hAnsi="宋体"/>
          <w:szCs w:val="21"/>
        </w:rPr>
      </w:pPr>
      <w:r>
        <w:rPr>
          <w:rFonts w:hint="eastAsia" w:ascii="宋体" w:hAnsi="宋体"/>
          <w:szCs w:val="21"/>
        </w:rPr>
        <w:t>2.2.1 发包人代表</w:t>
      </w:r>
    </w:p>
    <w:p>
      <w:pPr>
        <w:spacing w:line="360" w:lineRule="auto"/>
        <w:ind w:firstLine="420" w:firstLineChars="200"/>
        <w:jc w:val="left"/>
        <w:rPr>
          <w:rFonts w:ascii="宋体" w:hAnsi="宋体"/>
          <w:szCs w:val="21"/>
        </w:rPr>
      </w:pPr>
      <w:r>
        <w:rPr>
          <w:rFonts w:hint="eastAsia" w:ascii="宋体" w:hAnsi="宋体"/>
          <w:szCs w:val="21"/>
        </w:rPr>
        <w:t>发包人代表：</w:t>
      </w:r>
    </w:p>
    <w:p>
      <w:pPr>
        <w:spacing w:line="360" w:lineRule="auto"/>
        <w:ind w:firstLine="420" w:firstLineChars="200"/>
        <w:jc w:val="left"/>
        <w:rPr>
          <w:rFonts w:ascii="宋体" w:hAnsi="宋体"/>
          <w:szCs w:val="21"/>
        </w:rPr>
      </w:pPr>
      <w:r>
        <w:rPr>
          <w:rFonts w:hint="eastAsia" w:ascii="宋体" w:hAnsi="宋体"/>
          <w:szCs w:val="21"/>
        </w:rPr>
        <w:t>姓    名：</w:t>
      </w:r>
      <w:r>
        <w:rPr>
          <w:rFonts w:ascii="宋体" w:hAnsi="宋体"/>
          <w:szCs w:val="21"/>
          <w:u w:val="single"/>
        </w:rPr>
        <w:t xml:space="preserve">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身份证号：</w:t>
      </w:r>
      <w:r>
        <w:rPr>
          <w:rFonts w:ascii="宋体" w:hAnsi="宋体"/>
          <w:szCs w:val="21"/>
          <w:u w:val="single"/>
        </w:rPr>
        <w:t xml:space="preserve">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职    务：</w:t>
      </w:r>
      <w:r>
        <w:rPr>
          <w:rFonts w:ascii="宋体" w:hAnsi="宋体"/>
          <w:szCs w:val="21"/>
          <w:u w:val="single"/>
        </w:rPr>
        <w:t xml:space="preserve">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邮    编：</w:t>
      </w:r>
      <w:r>
        <w:rPr>
          <w:rFonts w:ascii="宋体" w:hAnsi="宋体"/>
          <w:szCs w:val="21"/>
          <w:u w:val="single"/>
        </w:rPr>
        <w:t xml:space="preserve">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发包人对发包人代表的授权范围如下：</w:t>
      </w:r>
      <w:r>
        <w:rPr>
          <w:rFonts w:hint="eastAsia" w:ascii="宋体" w:hAnsi="宋体"/>
          <w:szCs w:val="21"/>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宋体" w:hAnsi="宋体"/>
          <w:szCs w:val="21"/>
        </w:rPr>
        <w:t>。</w:t>
      </w:r>
    </w:p>
    <w:p>
      <w:pPr>
        <w:pStyle w:val="8"/>
        <w:spacing w:before="0" w:after="0" w:line="360" w:lineRule="auto"/>
        <w:ind w:firstLine="422" w:firstLineChars="200"/>
        <w:rPr>
          <w:sz w:val="21"/>
          <w:szCs w:val="21"/>
        </w:rPr>
      </w:pPr>
      <w:bookmarkStart w:id="550" w:name="_Toc532377332"/>
      <w:r>
        <w:rPr>
          <w:rFonts w:hint="eastAsia"/>
          <w:sz w:val="21"/>
          <w:szCs w:val="21"/>
        </w:rPr>
        <w:t>2.4 施工现场、施工条件和基础资料的提供</w:t>
      </w:r>
      <w:bookmarkEnd w:id="550"/>
    </w:p>
    <w:p>
      <w:pPr>
        <w:spacing w:line="360" w:lineRule="auto"/>
        <w:ind w:firstLine="420" w:firstLineChars="200"/>
        <w:jc w:val="left"/>
        <w:rPr>
          <w:rFonts w:ascii="宋体" w:hAnsi="宋体"/>
          <w:szCs w:val="21"/>
        </w:rPr>
      </w:pPr>
      <w:r>
        <w:rPr>
          <w:rFonts w:hint="eastAsia" w:ascii="宋体" w:hAnsi="宋体"/>
          <w:szCs w:val="21"/>
        </w:rPr>
        <w:t>2.4.1 提供施工现场</w:t>
      </w:r>
    </w:p>
    <w:p>
      <w:pPr>
        <w:spacing w:line="360" w:lineRule="auto"/>
        <w:ind w:firstLine="420" w:firstLineChars="200"/>
        <w:jc w:val="left"/>
        <w:rPr>
          <w:rFonts w:ascii="宋体" w:hAnsi="宋体"/>
          <w:szCs w:val="21"/>
        </w:rPr>
      </w:pPr>
      <w:r>
        <w:rPr>
          <w:rFonts w:hint="eastAsia" w:ascii="宋体" w:hAnsi="宋体"/>
          <w:szCs w:val="21"/>
        </w:rPr>
        <w:t>2.4.1.1 提供场地：</w:t>
      </w:r>
    </w:p>
    <w:p>
      <w:pPr>
        <w:spacing w:line="360" w:lineRule="auto"/>
        <w:ind w:firstLine="420" w:firstLineChars="200"/>
        <w:jc w:val="left"/>
        <w:rPr>
          <w:rFonts w:ascii="宋体" w:hAnsi="宋体"/>
          <w:szCs w:val="21"/>
        </w:rPr>
      </w:pPr>
      <w:r>
        <w:rPr>
          <w:rFonts w:hint="eastAsia" w:ascii="宋体" w:hAnsi="宋体"/>
          <w:szCs w:val="21"/>
        </w:rPr>
        <w:t>施工场地的提供采用以下第</w:t>
      </w:r>
      <w:r>
        <w:rPr>
          <w:rFonts w:hint="eastAsia" w:ascii="宋体" w:hAnsi="宋体"/>
          <w:szCs w:val="21"/>
          <w:u w:val="single"/>
        </w:rPr>
        <w:t>（1）</w:t>
      </w:r>
      <w:r>
        <w:rPr>
          <w:rFonts w:hint="eastAsia" w:ascii="宋体" w:hAnsi="宋体"/>
          <w:szCs w:val="21"/>
        </w:rPr>
        <w:t>种方式：</w:t>
      </w:r>
    </w:p>
    <w:p>
      <w:pPr>
        <w:spacing w:line="360" w:lineRule="auto"/>
        <w:ind w:firstLine="420" w:firstLineChars="200"/>
        <w:jc w:val="left"/>
        <w:rPr>
          <w:rFonts w:ascii="宋体" w:hAnsi="宋体"/>
          <w:szCs w:val="21"/>
        </w:rPr>
      </w:pPr>
      <w:r>
        <w:rPr>
          <w:rFonts w:hint="eastAsia" w:ascii="宋体" w:hAnsi="宋体"/>
          <w:szCs w:val="21"/>
        </w:rPr>
        <w:t>（1）一次提供全部施工场地：发包人于</w:t>
      </w:r>
      <w:r>
        <w:rPr>
          <w:rFonts w:hint="eastAsia" w:ascii="宋体" w:hAnsi="宋体"/>
          <w:szCs w:val="21"/>
          <w:u w:val="single"/>
        </w:rPr>
        <w:t>开工</w:t>
      </w:r>
      <w:r>
        <w:rPr>
          <w:rFonts w:hint="eastAsia" w:ascii="宋体" w:hAnsi="宋体"/>
          <w:szCs w:val="21"/>
        </w:rPr>
        <w:t>前向承包人提供合同工程用地红线范围内的施工场地。</w:t>
      </w:r>
    </w:p>
    <w:p>
      <w:pPr>
        <w:spacing w:line="360" w:lineRule="auto"/>
        <w:ind w:firstLine="420" w:firstLineChars="200"/>
        <w:jc w:val="left"/>
        <w:rPr>
          <w:rFonts w:ascii="宋体" w:hAnsi="宋体"/>
          <w:szCs w:val="21"/>
        </w:rPr>
      </w:pPr>
      <w:r>
        <w:rPr>
          <w:rFonts w:hint="eastAsia" w:ascii="宋体" w:hAnsi="宋体"/>
          <w:szCs w:val="21"/>
        </w:rPr>
        <w:t>（2）分次提供全部施工场地：</w:t>
      </w:r>
      <w:r>
        <w:rPr>
          <w:rFonts w:hint="eastAsia" w:ascii="宋体" w:hAnsi="宋体"/>
          <w:szCs w:val="21"/>
          <w:u w:val="single"/>
        </w:rPr>
        <w:t>发包人按约定的时间分次向承包人提供合同工程用地红线范围内的施工场地</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承包人编制的施工组织计划已充分考虑了施工场地提供的因素</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施工场地未能按约定提供的，承包人应结合施工场地实际交地情况，优化施工组织计划。施工场地未能按约定提供，影响项目关键线路的，承包人可提交索赔申请，并经监理人、发包人审批后可按约定顺延项目工期，否则工期不予顺延</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2.4.2 提供施工条件</w:t>
      </w:r>
    </w:p>
    <w:p>
      <w:pPr>
        <w:spacing w:line="360" w:lineRule="auto"/>
        <w:ind w:firstLine="420" w:firstLineChars="200"/>
        <w:jc w:val="left"/>
        <w:rPr>
          <w:rFonts w:ascii="宋体" w:hAnsi="宋体"/>
          <w:szCs w:val="21"/>
        </w:rPr>
      </w:pPr>
      <w:r>
        <w:rPr>
          <w:rFonts w:hint="eastAsia" w:ascii="宋体" w:hAnsi="宋体"/>
          <w:szCs w:val="21"/>
        </w:rPr>
        <w:t>关于发包人应负责提供施工所需要的条件：</w:t>
      </w:r>
    </w:p>
    <w:p>
      <w:pPr>
        <w:spacing w:line="360" w:lineRule="auto"/>
        <w:ind w:firstLine="420" w:firstLineChars="200"/>
        <w:rPr>
          <w:rFonts w:ascii="宋体" w:hAnsi="宋体"/>
          <w:u w:val="single"/>
        </w:rPr>
      </w:pPr>
      <w:r>
        <w:rPr>
          <w:rFonts w:hint="eastAsia" w:ascii="宋体" w:hAnsi="宋体"/>
        </w:rPr>
        <w:t>（1）施工场地具备施工条件的要求及完成的时间：</w:t>
      </w:r>
      <w:r>
        <w:rPr>
          <w:rFonts w:hint="eastAsia" w:ascii="宋体" w:hAnsi="宋体"/>
          <w:u w:val="single"/>
        </w:rPr>
        <w:t>承包人自行到施工现场踏勘，以通知进场时实际现状为准</w:t>
      </w:r>
      <w:r>
        <w:rPr>
          <w:rFonts w:hint="eastAsia" w:ascii="宋体" w:hAnsi="宋体"/>
        </w:rPr>
        <w:t>。</w:t>
      </w:r>
    </w:p>
    <w:p>
      <w:pPr>
        <w:spacing w:line="360" w:lineRule="auto"/>
        <w:ind w:firstLine="420" w:firstLineChars="200"/>
        <w:rPr>
          <w:rFonts w:ascii="宋体" w:hAnsi="宋体"/>
          <w:u w:val="single"/>
        </w:rPr>
      </w:pPr>
      <w:r>
        <w:rPr>
          <w:rFonts w:hint="eastAsia" w:ascii="宋体" w:hAnsi="宋体"/>
        </w:rPr>
        <w:t>（2）将施工所需的水、电接至施工场地的时间、地点和供应要求：</w:t>
      </w:r>
      <w:r>
        <w:rPr>
          <w:rFonts w:hint="eastAsia" w:ascii="宋体" w:hAnsi="宋体"/>
          <w:u w:val="single"/>
        </w:rPr>
        <w:t>发包人指定水电接口，由承包人自行接至施工现场，承包人自行到施工现场踏勘，以实际现状为准，费用已包含在合同价中，不再另行计算费用。注：发包人指定的水电接口至本项目用地红线范围边线的搭接费用由发包人承担，本项目用地红线范围内的搭接由承包人承担。</w:t>
      </w:r>
    </w:p>
    <w:p>
      <w:pPr>
        <w:spacing w:line="360" w:lineRule="auto"/>
        <w:ind w:firstLine="420" w:firstLineChars="200"/>
        <w:jc w:val="left"/>
        <w:rPr>
          <w:rFonts w:ascii="宋体" w:hAnsi="宋体"/>
          <w:szCs w:val="21"/>
        </w:rPr>
      </w:pPr>
      <w:r>
        <w:rPr>
          <w:rFonts w:hint="eastAsia" w:ascii="宋体" w:hAnsi="宋体"/>
          <w:u w:val="single"/>
        </w:rPr>
        <w:t>在施工期间，承包人应自行预备柴油发电机组，自备发电机的功率应与工程需用电力负荷相适应，确保施工用电未接入到位时、施工期间电网停电等因素造成的用电影响；自行准备抽水设备和蓄水池，并考虑水压不足的加压措施等因素</w:t>
      </w:r>
      <w:r>
        <w:rPr>
          <w:rFonts w:hint="eastAsia" w:ascii="宋体" w:hAnsi="宋体"/>
        </w:rPr>
        <w:t>。</w:t>
      </w:r>
      <w:r>
        <w:rPr>
          <w:rFonts w:hint="eastAsia" w:ascii="宋体" w:hAnsi="宋体"/>
          <w:u w:val="single"/>
        </w:rPr>
        <w:t>不因停水停电顺延工期。</w:t>
      </w:r>
    </w:p>
    <w:p>
      <w:pPr>
        <w:pStyle w:val="8"/>
        <w:spacing w:before="0" w:after="0" w:line="360" w:lineRule="auto"/>
        <w:ind w:firstLine="422" w:firstLineChars="200"/>
        <w:rPr>
          <w:sz w:val="21"/>
          <w:szCs w:val="21"/>
        </w:rPr>
      </w:pPr>
      <w:bookmarkStart w:id="551" w:name="_Toc532377333"/>
      <w:r>
        <w:rPr>
          <w:rFonts w:hint="eastAsia"/>
          <w:sz w:val="21"/>
          <w:szCs w:val="21"/>
        </w:rPr>
        <w:t>2.5 资金来源证明及支付担保</w:t>
      </w:r>
      <w:bookmarkEnd w:id="551"/>
    </w:p>
    <w:p>
      <w:pPr>
        <w:spacing w:line="360" w:lineRule="auto"/>
        <w:ind w:firstLine="420" w:firstLineChars="200"/>
        <w:jc w:val="left"/>
        <w:rPr>
          <w:rFonts w:ascii="宋体" w:hAnsi="宋体"/>
          <w:szCs w:val="21"/>
        </w:rPr>
      </w:pPr>
      <w:r>
        <w:rPr>
          <w:rFonts w:hint="eastAsia" w:ascii="宋体" w:hAnsi="宋体"/>
          <w:szCs w:val="21"/>
        </w:rPr>
        <w:t>发包人提供资金来源证明的期限要求：</w:t>
      </w:r>
      <w:r>
        <w:rPr>
          <w:rFonts w:hint="eastAsia" w:ascii="宋体" w:hAnsi="宋体"/>
          <w:szCs w:val="21"/>
          <w:u w:val="single"/>
        </w:rPr>
        <w:t>不采用</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发包人是否提供支付担保：</w:t>
      </w:r>
      <w:r>
        <w:rPr>
          <w:rFonts w:hint="eastAsia" w:ascii="宋体" w:hAnsi="宋体"/>
          <w:szCs w:val="21"/>
          <w:u w:val="single"/>
        </w:rPr>
        <w:t>不提供</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支付担保的形式：</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支付担保的金额：</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支付担保的时间：</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支付担保的期限：</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支付担保的退还时间：</w:t>
      </w:r>
      <w:r>
        <w:rPr>
          <w:rFonts w:hint="eastAsia" w:ascii="宋体" w:hAnsi="宋体"/>
          <w:szCs w:val="21"/>
          <w:u w:val="single"/>
        </w:rPr>
        <w:t xml:space="preserve">        </w:t>
      </w:r>
      <w:r>
        <w:rPr>
          <w:rFonts w:hint="eastAsia" w:ascii="宋体" w:hAnsi="宋体"/>
          <w:szCs w:val="21"/>
        </w:rPr>
        <w:t>。</w:t>
      </w:r>
    </w:p>
    <w:p>
      <w:pPr>
        <w:pStyle w:val="7"/>
        <w:spacing w:before="120" w:beforeLines="50" w:after="120" w:afterLines="50" w:line="360" w:lineRule="auto"/>
        <w:rPr>
          <w:sz w:val="21"/>
          <w:szCs w:val="21"/>
        </w:rPr>
      </w:pPr>
      <w:bookmarkStart w:id="552" w:name="_Toc532377334"/>
      <w:bookmarkStart w:id="553" w:name="_Toc532375610"/>
      <w:bookmarkStart w:id="554" w:name="_Toc351203635"/>
      <w:r>
        <w:rPr>
          <w:rFonts w:hint="eastAsia"/>
          <w:sz w:val="21"/>
          <w:szCs w:val="21"/>
        </w:rPr>
        <w:t>3</w:t>
      </w:r>
      <w:bookmarkStart w:id="555" w:name="_Toc296503158"/>
      <w:bookmarkStart w:id="556" w:name="_Toc296347157"/>
      <w:bookmarkStart w:id="557" w:name="_Toc292559868"/>
      <w:bookmarkStart w:id="558" w:name="_Toc297048344"/>
      <w:bookmarkStart w:id="559" w:name="_Toc296890986"/>
      <w:bookmarkStart w:id="560" w:name="_Toc296346659"/>
      <w:bookmarkStart w:id="561" w:name="_Toc292559363"/>
      <w:bookmarkStart w:id="562" w:name="_Toc297120458"/>
      <w:bookmarkStart w:id="563" w:name="_Toc296891198"/>
      <w:bookmarkStart w:id="564" w:name="_Toc296944497"/>
      <w:r>
        <w:rPr>
          <w:rFonts w:hint="eastAsia"/>
          <w:sz w:val="21"/>
          <w:szCs w:val="21"/>
        </w:rPr>
        <w:t>. 承包人</w:t>
      </w:r>
      <w:bookmarkEnd w:id="552"/>
      <w:bookmarkEnd w:id="553"/>
      <w:bookmarkEnd w:id="554"/>
    </w:p>
    <w:bookmarkEnd w:id="555"/>
    <w:bookmarkEnd w:id="556"/>
    <w:bookmarkEnd w:id="557"/>
    <w:bookmarkEnd w:id="558"/>
    <w:bookmarkEnd w:id="559"/>
    <w:bookmarkEnd w:id="560"/>
    <w:bookmarkEnd w:id="561"/>
    <w:bookmarkEnd w:id="562"/>
    <w:bookmarkEnd w:id="563"/>
    <w:bookmarkEnd w:id="564"/>
    <w:p>
      <w:pPr>
        <w:pStyle w:val="8"/>
        <w:spacing w:before="0" w:after="0" w:line="360" w:lineRule="auto"/>
        <w:ind w:firstLine="422" w:firstLineChars="200"/>
        <w:rPr>
          <w:sz w:val="21"/>
          <w:szCs w:val="21"/>
        </w:rPr>
      </w:pPr>
      <w:bookmarkStart w:id="565" w:name="_Toc532377335"/>
      <w:r>
        <w:rPr>
          <w:rFonts w:hint="eastAsia"/>
          <w:sz w:val="21"/>
          <w:szCs w:val="21"/>
        </w:rPr>
        <w:t>3.1 承包人的一般义务</w:t>
      </w:r>
      <w:bookmarkEnd w:id="565"/>
    </w:p>
    <w:p>
      <w:pPr>
        <w:spacing w:line="360" w:lineRule="auto"/>
        <w:ind w:firstLine="420" w:firstLineChars="200"/>
        <w:jc w:val="left"/>
        <w:rPr>
          <w:rFonts w:ascii="宋体" w:hAnsi="宋体"/>
          <w:szCs w:val="21"/>
        </w:rPr>
      </w:pPr>
      <w:r>
        <w:rPr>
          <w:rFonts w:hint="eastAsia" w:ascii="宋体" w:hAnsi="宋体"/>
          <w:szCs w:val="21"/>
        </w:rPr>
        <w:t>本款细化为3.1.1～3.1.10项：</w:t>
      </w:r>
    </w:p>
    <w:p>
      <w:pPr>
        <w:spacing w:line="360" w:lineRule="auto"/>
        <w:ind w:firstLine="420" w:firstLineChars="200"/>
        <w:jc w:val="left"/>
        <w:rPr>
          <w:rFonts w:ascii="宋体" w:hAnsi="宋体"/>
          <w:szCs w:val="21"/>
        </w:rPr>
      </w:pPr>
      <w:r>
        <w:rPr>
          <w:rFonts w:hint="eastAsia" w:ascii="宋体" w:hAnsi="宋体"/>
          <w:szCs w:val="21"/>
        </w:rPr>
        <w:t>3.1.1办理法律规定和合同约定应由承包人办理的许可和批准，并将办理结果书面报送发包人留存；协助发包人办理施工所需的工程质量监督、安全监督、施工许可证等相关证件及手续。</w:t>
      </w:r>
    </w:p>
    <w:p>
      <w:pPr>
        <w:spacing w:line="360" w:lineRule="auto"/>
        <w:ind w:firstLine="420" w:firstLineChars="200"/>
        <w:jc w:val="left"/>
        <w:rPr>
          <w:rFonts w:ascii="宋体" w:hAnsi="宋体"/>
          <w:szCs w:val="21"/>
        </w:rPr>
      </w:pPr>
      <w:r>
        <w:rPr>
          <w:rFonts w:hint="eastAsia" w:ascii="宋体" w:hAnsi="宋体"/>
          <w:szCs w:val="21"/>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pPr>
        <w:spacing w:line="360" w:lineRule="auto"/>
        <w:ind w:firstLine="420" w:firstLineChars="200"/>
        <w:jc w:val="left"/>
        <w:rPr>
          <w:rFonts w:ascii="宋体" w:hAnsi="宋体"/>
          <w:szCs w:val="21"/>
        </w:rPr>
      </w:pPr>
      <w:r>
        <w:rPr>
          <w:rFonts w:hint="eastAsia" w:ascii="宋体" w:hAnsi="宋体"/>
          <w:szCs w:val="21"/>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pPr>
        <w:spacing w:line="360" w:lineRule="auto"/>
        <w:ind w:firstLine="420" w:firstLineChars="200"/>
        <w:jc w:val="left"/>
        <w:rPr>
          <w:rFonts w:ascii="宋体" w:hAnsi="宋体"/>
          <w:szCs w:val="21"/>
        </w:rPr>
      </w:pPr>
      <w:r>
        <w:rPr>
          <w:rFonts w:hint="eastAsia" w:ascii="宋体" w:hAnsi="宋体"/>
          <w:szCs w:val="21"/>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pPr>
        <w:spacing w:line="360" w:lineRule="auto"/>
        <w:ind w:firstLine="420" w:firstLineChars="200"/>
        <w:jc w:val="left"/>
        <w:rPr>
          <w:rFonts w:ascii="宋体" w:hAnsi="宋体"/>
          <w:szCs w:val="21"/>
        </w:rPr>
      </w:pPr>
      <w:r>
        <w:rPr>
          <w:rFonts w:hint="eastAsia" w:ascii="宋体" w:hAnsi="宋体"/>
          <w:szCs w:val="21"/>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360" w:lineRule="auto"/>
        <w:ind w:firstLine="420" w:firstLineChars="200"/>
        <w:jc w:val="left"/>
        <w:rPr>
          <w:rFonts w:ascii="宋体" w:hAnsi="宋体"/>
          <w:szCs w:val="21"/>
        </w:rPr>
      </w:pPr>
      <w:r>
        <w:rPr>
          <w:rFonts w:hint="eastAsia" w:ascii="宋体" w:hAnsi="宋体"/>
          <w:szCs w:val="21"/>
        </w:rPr>
        <w:t>3.1.6按照第6.3款〔环境保护〕约定负责施工场地及其周边环境与生态的保护工作。</w:t>
      </w:r>
    </w:p>
    <w:p>
      <w:pPr>
        <w:spacing w:line="360" w:lineRule="auto"/>
        <w:ind w:firstLine="420" w:firstLineChars="200"/>
        <w:jc w:val="left"/>
        <w:rPr>
          <w:rFonts w:ascii="宋体" w:hAnsi="宋体"/>
          <w:szCs w:val="21"/>
        </w:rPr>
      </w:pPr>
      <w:r>
        <w:rPr>
          <w:rFonts w:hint="eastAsia" w:ascii="宋体" w:hAnsi="宋体"/>
          <w:szCs w:val="21"/>
        </w:rPr>
        <w:t>3.1.7按照第6.1款〔安全文明施工〕约定采取施工安全措施，确保工程及其人员、材料、设备和设施的安全，防止因工程施工造成的人身伤害和财产损失。</w:t>
      </w:r>
    </w:p>
    <w:p>
      <w:pPr>
        <w:autoSpaceDE w:val="0"/>
        <w:autoSpaceDN w:val="0"/>
        <w:spacing w:line="360" w:lineRule="auto"/>
        <w:ind w:firstLine="420" w:firstLineChars="200"/>
        <w:jc w:val="left"/>
        <w:rPr>
          <w:rFonts w:ascii="宋体" w:hAnsi="宋体"/>
          <w:szCs w:val="21"/>
        </w:rPr>
      </w:pPr>
      <w:r>
        <w:rPr>
          <w:rFonts w:hint="eastAsia" w:ascii="宋体" w:hAnsi="宋体"/>
          <w:szCs w:val="21"/>
        </w:rPr>
        <w:t>3.1.8将发包人按合同约定支付的各项价款专用于合同工程，且应及时支付其雇用人员工资，并及时向分包人支付合同价款。</w:t>
      </w:r>
    </w:p>
    <w:p>
      <w:pPr>
        <w:autoSpaceDE w:val="0"/>
        <w:autoSpaceDN w:val="0"/>
        <w:spacing w:line="360" w:lineRule="auto"/>
        <w:ind w:firstLine="420" w:firstLineChars="200"/>
        <w:jc w:val="left"/>
        <w:rPr>
          <w:rFonts w:ascii="宋体" w:hAnsi="宋体"/>
          <w:szCs w:val="21"/>
        </w:rPr>
      </w:pPr>
      <w:r>
        <w:rPr>
          <w:rFonts w:hint="eastAsia" w:ascii="宋体" w:hAnsi="宋体"/>
          <w:szCs w:val="21"/>
        </w:rPr>
        <w:t>3.1.9承包人提交的竣工资料的内容：</w:t>
      </w:r>
      <w:r>
        <w:rPr>
          <w:rFonts w:hint="eastAsia" w:ascii="宋体" w:hAnsi="宋体"/>
          <w:szCs w:val="21"/>
          <w:u w:val="single"/>
        </w:rPr>
        <w:t>工程施工技术资料、工程质量保证资料、工程检验评定资料、竣工图及其他应交资料，应符合《建设工程文件归档整理规范》（GB/T50328-2014）和重庆市有关文件规定</w:t>
      </w:r>
      <w:r>
        <w:rPr>
          <w:rFonts w:hint="eastAsia" w:ascii="宋体" w:hAnsi="宋体"/>
          <w:szCs w:val="21"/>
        </w:rPr>
        <w:t>。</w:t>
      </w:r>
    </w:p>
    <w:p>
      <w:pPr>
        <w:autoSpaceDE w:val="0"/>
        <w:autoSpaceDN w:val="0"/>
        <w:spacing w:line="360" w:lineRule="auto"/>
        <w:ind w:firstLine="420" w:firstLineChars="200"/>
        <w:jc w:val="left"/>
        <w:rPr>
          <w:rFonts w:ascii="宋体" w:hAnsi="宋体"/>
          <w:szCs w:val="21"/>
        </w:rPr>
      </w:pPr>
      <w:r>
        <w:rPr>
          <w:rFonts w:hint="eastAsia" w:ascii="宋体" w:hAnsi="宋体"/>
          <w:szCs w:val="21"/>
        </w:rPr>
        <w:t>承包人需要提交的竣工资料套数：完整竣工资料一式</w:t>
      </w:r>
      <w:r>
        <w:rPr>
          <w:rFonts w:hint="eastAsia" w:ascii="宋体" w:hAnsi="宋体"/>
          <w:szCs w:val="21"/>
          <w:u w:val="single"/>
        </w:rPr>
        <w:t>6</w:t>
      </w:r>
      <w:r>
        <w:rPr>
          <w:rFonts w:hint="eastAsia" w:ascii="宋体" w:hAnsi="宋体"/>
          <w:szCs w:val="21"/>
        </w:rPr>
        <w:t>套（含电子文档）。</w:t>
      </w:r>
    </w:p>
    <w:p>
      <w:pPr>
        <w:spacing w:line="360" w:lineRule="auto"/>
        <w:ind w:firstLine="420" w:firstLineChars="200"/>
        <w:jc w:val="left"/>
        <w:rPr>
          <w:rFonts w:ascii="宋体" w:hAnsi="宋体"/>
          <w:szCs w:val="21"/>
        </w:rPr>
      </w:pPr>
      <w:r>
        <w:rPr>
          <w:rFonts w:hint="eastAsia" w:ascii="宋体" w:hAnsi="宋体"/>
          <w:szCs w:val="21"/>
        </w:rPr>
        <w:t>承包人提交的竣工资料的费用承担：</w:t>
      </w:r>
      <w:r>
        <w:rPr>
          <w:rFonts w:hint="eastAsia" w:ascii="宋体" w:hAnsi="宋体"/>
          <w:szCs w:val="21"/>
          <w:u w:val="single"/>
        </w:rPr>
        <w:t>由承包人承担</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承包人提交的竣工资料移交时间：</w:t>
      </w:r>
      <w:r>
        <w:rPr>
          <w:rFonts w:hint="eastAsia" w:ascii="宋体" w:hAnsi="宋体"/>
          <w:szCs w:val="21"/>
          <w:u w:val="single"/>
        </w:rPr>
        <w:t>工程竣工验收合格后1个月内移交给发包人</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承包人提交的竣工资料形式要求：</w:t>
      </w:r>
      <w:r>
        <w:rPr>
          <w:rFonts w:hint="eastAsia" w:ascii="宋体" w:hAnsi="宋体"/>
          <w:szCs w:val="21"/>
          <w:u w:val="single"/>
        </w:rPr>
        <w:t>完整的书面文件及电子文档</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3.1.10承包人应履行的其他义务：</w:t>
      </w:r>
    </w:p>
    <w:p>
      <w:pPr>
        <w:spacing w:line="360" w:lineRule="auto"/>
        <w:ind w:firstLine="420" w:firstLineChars="200"/>
        <w:jc w:val="left"/>
        <w:rPr>
          <w:rFonts w:ascii="宋体" w:hAnsi="宋体"/>
          <w:szCs w:val="21"/>
        </w:rPr>
      </w:pPr>
      <w:r>
        <w:rPr>
          <w:rFonts w:hint="eastAsia" w:ascii="宋体" w:hAnsi="宋体"/>
          <w:szCs w:val="21"/>
        </w:rPr>
        <w:t>3.1.10.1在开始施工之前，承包人应核查、复测本工程的各种基准标志。承包人应及时将上述基准标志中存在的错误、不完整或其他缺陷通知发包人，以便发包人核实后重新确认。</w:t>
      </w:r>
    </w:p>
    <w:p>
      <w:pPr>
        <w:spacing w:line="360" w:lineRule="auto"/>
        <w:ind w:firstLine="420" w:firstLineChars="200"/>
        <w:jc w:val="left"/>
        <w:rPr>
          <w:rFonts w:ascii="宋体" w:hAnsi="宋体"/>
          <w:szCs w:val="21"/>
        </w:rPr>
      </w:pPr>
      <w:r>
        <w:rPr>
          <w:rFonts w:hint="eastAsia" w:ascii="宋体" w:hAnsi="宋体"/>
          <w:szCs w:val="21"/>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pPr>
        <w:spacing w:line="360" w:lineRule="auto"/>
        <w:ind w:firstLine="420" w:firstLineChars="200"/>
        <w:jc w:val="left"/>
        <w:rPr>
          <w:rFonts w:ascii="宋体" w:hAnsi="宋体"/>
          <w:szCs w:val="21"/>
        </w:rPr>
      </w:pPr>
      <w:r>
        <w:rPr>
          <w:rFonts w:hint="eastAsia" w:ascii="宋体" w:hAnsi="宋体"/>
          <w:szCs w:val="21"/>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pPr>
        <w:spacing w:line="360" w:lineRule="auto"/>
        <w:ind w:firstLine="420" w:firstLineChars="200"/>
        <w:jc w:val="left"/>
        <w:rPr>
          <w:rFonts w:ascii="宋体" w:hAnsi="宋体"/>
          <w:szCs w:val="21"/>
        </w:rPr>
      </w:pPr>
      <w:r>
        <w:rPr>
          <w:rFonts w:hint="eastAsia" w:ascii="宋体" w:hAnsi="宋体"/>
          <w:szCs w:val="21"/>
        </w:rPr>
        <w:t>3.1.10.4承包人应服从发包人要求的管理模式、工作方式和工作要求，同时接受监理人、跟审单位的管理和全程监督，配合项目结、决算的办理。</w:t>
      </w:r>
    </w:p>
    <w:p>
      <w:pPr>
        <w:spacing w:line="360" w:lineRule="auto"/>
        <w:ind w:firstLine="420" w:firstLineChars="200"/>
        <w:jc w:val="left"/>
        <w:rPr>
          <w:rFonts w:ascii="宋体" w:hAnsi="宋体"/>
          <w:szCs w:val="21"/>
        </w:rPr>
      </w:pPr>
      <w:r>
        <w:rPr>
          <w:rFonts w:hint="eastAsia" w:ascii="宋体" w:hAnsi="宋体"/>
          <w:szCs w:val="21"/>
        </w:rPr>
        <w:t>3.1.10.5承包人应为本工程开立专用帐户，接受发包人的监管。</w:t>
      </w:r>
    </w:p>
    <w:p>
      <w:pPr>
        <w:pStyle w:val="8"/>
        <w:spacing w:before="0" w:after="0" w:line="360" w:lineRule="auto"/>
        <w:ind w:firstLine="422" w:firstLineChars="200"/>
        <w:rPr>
          <w:sz w:val="21"/>
          <w:szCs w:val="21"/>
        </w:rPr>
      </w:pPr>
      <w:bookmarkStart w:id="566" w:name="_Toc532377336"/>
      <w:r>
        <w:rPr>
          <w:rFonts w:hint="eastAsia"/>
          <w:sz w:val="21"/>
          <w:szCs w:val="21"/>
        </w:rPr>
        <w:t>3.2 项目经理</w:t>
      </w:r>
      <w:bookmarkEnd w:id="566"/>
    </w:p>
    <w:p>
      <w:pPr>
        <w:spacing w:line="360" w:lineRule="auto"/>
        <w:ind w:firstLine="420" w:firstLineChars="200"/>
        <w:jc w:val="left"/>
        <w:rPr>
          <w:rFonts w:ascii="宋体" w:hAnsi="宋体"/>
          <w:szCs w:val="21"/>
        </w:rPr>
      </w:pPr>
      <w:r>
        <w:rPr>
          <w:rFonts w:hint="eastAsia" w:ascii="宋体" w:hAnsi="宋体"/>
          <w:kern w:val="0"/>
          <w:szCs w:val="21"/>
        </w:rPr>
        <w:t xml:space="preserve">3.2.1 </w:t>
      </w:r>
      <w:r>
        <w:rPr>
          <w:rFonts w:hint="eastAsia" w:ascii="宋体" w:hAnsi="宋体"/>
          <w:szCs w:val="21"/>
        </w:rPr>
        <w:t>项目经理：</w:t>
      </w:r>
    </w:p>
    <w:p>
      <w:pPr>
        <w:spacing w:line="360" w:lineRule="auto"/>
        <w:ind w:firstLine="420" w:firstLineChars="200"/>
        <w:jc w:val="left"/>
        <w:rPr>
          <w:rFonts w:ascii="宋体" w:hAnsi="宋体"/>
          <w:szCs w:val="21"/>
        </w:rPr>
      </w:pPr>
      <w:r>
        <w:rPr>
          <w:rFonts w:hint="eastAsia" w:ascii="宋体" w:hAnsi="宋体"/>
          <w:szCs w:val="21"/>
        </w:rPr>
        <w:t>姓    名：</w:t>
      </w:r>
      <w:r>
        <w:rPr>
          <w:rFonts w:ascii="宋体" w:hAnsi="宋体"/>
          <w:szCs w:val="21"/>
          <w:u w:val="single"/>
        </w:rPr>
        <w:t xml:space="preserve">      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身份证号：</w:t>
      </w:r>
      <w:r>
        <w:rPr>
          <w:rFonts w:ascii="宋体" w:hAnsi="宋体"/>
          <w:szCs w:val="21"/>
          <w:u w:val="single"/>
        </w:rPr>
        <w:t>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建造师执业资格等级：</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建造师注册证书号：</w:t>
      </w:r>
      <w:r>
        <w:rPr>
          <w:rFonts w:ascii="宋体" w:hAnsi="宋体"/>
          <w:szCs w:val="21"/>
          <w:u w:val="single"/>
        </w:rPr>
        <w:t>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建造师执业印章号：</w:t>
      </w:r>
      <w:r>
        <w:rPr>
          <w:rFonts w:ascii="宋体" w:hAnsi="宋体"/>
          <w:szCs w:val="21"/>
          <w:u w:val="single"/>
        </w:rPr>
        <w:t>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安全生产考核合格证书号：</w:t>
      </w:r>
      <w:r>
        <w:rPr>
          <w:rFonts w:ascii="宋体" w:hAnsi="宋体"/>
          <w:szCs w:val="21"/>
          <w:u w:val="single"/>
        </w:rPr>
        <w:t>  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承包人对项目经理的授权范围如下：</w:t>
      </w:r>
      <w:r>
        <w:rPr>
          <w:rFonts w:hint="eastAsia" w:ascii="宋体" w:hAnsi="宋体"/>
          <w:szCs w:val="21"/>
          <w:u w:val="single"/>
        </w:rPr>
        <w:t>严格按设计图纸、现行国家施工规范及验收规范组织施工，保证工程质量、进度、安全；及时向监理人、发包人报告现场情况（以承包人书面授权范围为准）</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关于项目经理每月在施工现场的时间要求：</w:t>
      </w:r>
      <w:r>
        <w:rPr>
          <w:rFonts w:hint="eastAsia" w:ascii="宋体" w:hAnsi="宋体"/>
          <w:szCs w:val="21"/>
          <w:u w:val="single"/>
        </w:rPr>
        <w:t>不少于22天，由监理人负责项目经理的考勤</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承包人应在合同签订后7天内提交与项目经理签订的劳动合同及为项目经理缴纳社会保险的证明，承包人未在限期内提交的，项目经理无权履行职责，发包人有权要求更换项目经理</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3.2.2 技术负责人</w:t>
      </w:r>
    </w:p>
    <w:p>
      <w:pPr>
        <w:spacing w:line="360" w:lineRule="auto"/>
        <w:ind w:firstLine="420" w:firstLineChars="200"/>
        <w:jc w:val="left"/>
        <w:rPr>
          <w:rFonts w:ascii="宋体" w:hAnsi="宋体"/>
          <w:szCs w:val="21"/>
        </w:rPr>
      </w:pPr>
      <w:r>
        <w:rPr>
          <w:rFonts w:hint="eastAsia" w:ascii="宋体" w:hAnsi="宋体"/>
          <w:szCs w:val="21"/>
        </w:rPr>
        <w:t>姓    名：</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身份证号：</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 xml:space="preserve">专 </w:t>
      </w:r>
      <w:r>
        <w:rPr>
          <w:rFonts w:hint="eastAsia" w:ascii="宋体" w:hAnsi="宋体" w:cs="宋体"/>
          <w:szCs w:val="21"/>
        </w:rPr>
        <w:t> </w:t>
      </w:r>
      <w:r>
        <w:rPr>
          <w:rFonts w:hint="eastAsia" w:ascii="宋体" w:hAnsi="宋体"/>
          <w:szCs w:val="21"/>
        </w:rPr>
        <w:t xml:space="preserve"> 业：</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证书名称及号码：</w:t>
      </w:r>
      <w:r>
        <w:rPr>
          <w:rFonts w:ascii="宋体" w:hAnsi="宋体"/>
          <w:szCs w:val="21"/>
          <w:u w:val="single"/>
        </w:rPr>
        <w:t xml:space="preserve">                         </w:t>
      </w:r>
      <w:r>
        <w:rPr>
          <w:rFonts w:hint="eastAsia" w:ascii="宋体" w:hAnsi="宋体"/>
          <w:szCs w:val="21"/>
        </w:rPr>
        <w:t>；</w:t>
      </w:r>
    </w:p>
    <w:p>
      <w:pPr>
        <w:pStyle w:val="2"/>
        <w:spacing w:after="0" w:line="360" w:lineRule="auto"/>
        <w:rPr>
          <w:rFonts w:ascii="宋体" w:hAnsi="宋体"/>
          <w:szCs w:val="21"/>
        </w:rPr>
      </w:pPr>
      <w:r>
        <w:rPr>
          <w:rFonts w:hint="eastAsia" w:ascii="宋体" w:hAnsi="宋体"/>
          <w:szCs w:val="21"/>
        </w:rPr>
        <w:t xml:space="preserve">    </w:t>
      </w:r>
      <w:r>
        <w:rPr>
          <w:rFonts w:ascii="宋体" w:hAnsi="宋体"/>
          <w:szCs w:val="21"/>
        </w:rPr>
        <w:t>联系方式：</w:t>
      </w:r>
      <w:r>
        <w:rPr>
          <w:rFonts w:ascii="宋体" w:hAnsi="宋体"/>
          <w:szCs w:val="21"/>
          <w:u w:val="single"/>
        </w:rPr>
        <w:t xml:space="preserve">  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kern w:val="0"/>
          <w:szCs w:val="21"/>
        </w:rPr>
        <w:t>关于技</w:t>
      </w:r>
      <w:r>
        <w:rPr>
          <w:rFonts w:hint="eastAsia" w:ascii="宋体" w:hAnsi="宋体"/>
          <w:szCs w:val="21"/>
        </w:rPr>
        <w:t>术负责人每月在施工现场的时间要求：</w:t>
      </w:r>
      <w:r>
        <w:rPr>
          <w:rFonts w:hint="eastAsia" w:ascii="宋体" w:hAnsi="宋体"/>
          <w:szCs w:val="21"/>
          <w:u w:val="single"/>
        </w:rPr>
        <w:t>不少于22天，由监理人负责技术负责人的考勤</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hAnsi="宋体"/>
          <w:szCs w:val="21"/>
        </w:rPr>
        <w:t>。</w:t>
      </w:r>
      <w:bookmarkStart w:id="567" w:name="_Hlk528927599"/>
    </w:p>
    <w:bookmarkEnd w:id="567"/>
    <w:p>
      <w:pPr>
        <w:spacing w:line="360" w:lineRule="auto"/>
        <w:ind w:firstLine="420" w:firstLineChars="200"/>
        <w:jc w:val="left"/>
        <w:rPr>
          <w:rFonts w:ascii="宋体" w:hAnsi="宋体"/>
          <w:szCs w:val="21"/>
        </w:rPr>
      </w:pPr>
      <w:bookmarkStart w:id="568" w:name="_Hlk528927718"/>
      <w:r>
        <w:rPr>
          <w:rFonts w:hint="eastAsia" w:ascii="宋体" w:hAnsi="宋体"/>
          <w:szCs w:val="21"/>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568"/>
    </w:p>
    <w:p>
      <w:pPr>
        <w:spacing w:line="360" w:lineRule="auto"/>
        <w:ind w:firstLine="420" w:firstLineChars="200"/>
        <w:jc w:val="left"/>
        <w:rPr>
          <w:rFonts w:ascii="宋体" w:hAnsi="宋体"/>
          <w:szCs w:val="21"/>
        </w:rPr>
      </w:pPr>
      <w:r>
        <w:rPr>
          <w:rFonts w:hint="eastAsia" w:ascii="宋体" w:hAnsi="宋体"/>
          <w:szCs w:val="21"/>
        </w:rPr>
        <w:t>若项目经理和技术负责人出现下列情形需更换的，承包人按通用条款第3.2.3项的规定向发包人发出通知，经发包人领导班子集体决策同意后予以批准，并将变更信息推送给行业主管部门：</w:t>
      </w:r>
    </w:p>
    <w:p>
      <w:pPr>
        <w:spacing w:line="360" w:lineRule="auto"/>
        <w:ind w:firstLine="420" w:firstLineChars="200"/>
        <w:jc w:val="left"/>
        <w:rPr>
          <w:rFonts w:ascii="宋体" w:hAnsi="宋体"/>
          <w:szCs w:val="21"/>
        </w:rPr>
      </w:pPr>
      <w:r>
        <w:rPr>
          <w:rFonts w:hint="eastAsia" w:ascii="宋体" w:hAnsi="宋体"/>
          <w:szCs w:val="21"/>
        </w:rPr>
        <w:t>1、死亡；</w:t>
      </w:r>
    </w:p>
    <w:p>
      <w:pPr>
        <w:spacing w:line="360" w:lineRule="auto"/>
        <w:ind w:firstLine="420" w:firstLineChars="200"/>
        <w:jc w:val="left"/>
        <w:rPr>
          <w:rFonts w:ascii="宋体" w:hAnsi="宋体"/>
          <w:szCs w:val="21"/>
        </w:rPr>
      </w:pPr>
      <w:r>
        <w:rPr>
          <w:rFonts w:hint="eastAsia" w:ascii="宋体" w:hAnsi="宋体"/>
          <w:szCs w:val="21"/>
        </w:rPr>
        <w:t>2、非承包人原因导致工期延长，而致使项目经理和技术负责人达到法定退休年龄且确需退休；</w:t>
      </w:r>
    </w:p>
    <w:p>
      <w:pPr>
        <w:spacing w:line="360" w:lineRule="auto"/>
        <w:ind w:firstLine="420" w:firstLineChars="200"/>
        <w:jc w:val="left"/>
        <w:rPr>
          <w:rFonts w:ascii="宋体" w:hAnsi="宋体"/>
          <w:szCs w:val="21"/>
        </w:rPr>
      </w:pPr>
      <w:r>
        <w:rPr>
          <w:rFonts w:hint="eastAsia" w:ascii="宋体" w:hAnsi="宋体"/>
          <w:szCs w:val="21"/>
        </w:rPr>
        <w:t>3、按《职工非因工伤残或因病丧失劳动能力程度鉴定标准（试行）》规定鉴定为完全丧失劳动能力和大部分丧失劳动能力；</w:t>
      </w:r>
    </w:p>
    <w:p>
      <w:pPr>
        <w:spacing w:line="360" w:lineRule="auto"/>
        <w:ind w:firstLine="420" w:firstLineChars="200"/>
        <w:jc w:val="left"/>
        <w:rPr>
          <w:rFonts w:ascii="宋体" w:hAnsi="宋体"/>
          <w:szCs w:val="21"/>
        </w:rPr>
      </w:pPr>
      <w:r>
        <w:rPr>
          <w:rFonts w:hint="eastAsia" w:ascii="宋体" w:hAnsi="宋体"/>
          <w:szCs w:val="21"/>
        </w:rPr>
        <w:t>4、非承包人原因导致中标3个月不能开工；</w:t>
      </w:r>
    </w:p>
    <w:p>
      <w:pPr>
        <w:spacing w:line="360" w:lineRule="auto"/>
        <w:ind w:firstLine="420" w:firstLineChars="200"/>
        <w:jc w:val="left"/>
        <w:rPr>
          <w:rFonts w:ascii="宋体" w:hAnsi="宋体"/>
          <w:szCs w:val="21"/>
        </w:rPr>
      </w:pPr>
      <w:r>
        <w:rPr>
          <w:rFonts w:hint="eastAsia" w:ascii="宋体" w:hAnsi="宋体"/>
          <w:szCs w:val="21"/>
        </w:rPr>
        <w:t>5、被公安或者司法机关限制人身自由；</w:t>
      </w:r>
    </w:p>
    <w:p>
      <w:pPr>
        <w:spacing w:line="360" w:lineRule="auto"/>
        <w:ind w:firstLine="420" w:firstLineChars="200"/>
        <w:jc w:val="left"/>
        <w:rPr>
          <w:rFonts w:ascii="宋体" w:hAnsi="宋体"/>
          <w:szCs w:val="21"/>
        </w:rPr>
      </w:pPr>
      <w:r>
        <w:rPr>
          <w:rFonts w:hint="eastAsia" w:ascii="宋体" w:hAnsi="宋体"/>
          <w:szCs w:val="21"/>
        </w:rPr>
        <w:t>6、被取消职称或者执业资格，不满足项目管理要求；</w:t>
      </w:r>
    </w:p>
    <w:p>
      <w:pPr>
        <w:spacing w:line="360" w:lineRule="auto"/>
        <w:ind w:firstLine="420" w:firstLineChars="200"/>
        <w:jc w:val="left"/>
        <w:rPr>
          <w:rFonts w:ascii="宋体" w:hAnsi="宋体"/>
          <w:szCs w:val="21"/>
        </w:rPr>
      </w:pPr>
      <w:r>
        <w:rPr>
          <w:rFonts w:hint="eastAsia" w:ascii="宋体" w:hAnsi="宋体"/>
          <w:szCs w:val="21"/>
        </w:rPr>
        <w:t>7、非承包人原因导致确需变更的其它情形。</w:t>
      </w:r>
    </w:p>
    <w:p>
      <w:pPr>
        <w:spacing w:line="360" w:lineRule="auto"/>
        <w:ind w:firstLine="420" w:firstLineChars="200"/>
        <w:jc w:val="left"/>
        <w:rPr>
          <w:rFonts w:ascii="宋体" w:hAnsi="宋体"/>
          <w:szCs w:val="21"/>
        </w:rPr>
      </w:pPr>
      <w:r>
        <w:rPr>
          <w:rFonts w:hint="eastAsia" w:ascii="宋体" w:hAnsi="宋体"/>
          <w:szCs w:val="21"/>
        </w:rPr>
        <w:t>本款补充3.2.6项</w:t>
      </w:r>
    </w:p>
    <w:p>
      <w:pPr>
        <w:spacing w:line="360" w:lineRule="auto"/>
        <w:ind w:firstLine="420" w:firstLineChars="200"/>
        <w:jc w:val="left"/>
        <w:rPr>
          <w:rFonts w:ascii="宋体" w:hAnsi="宋体"/>
          <w:szCs w:val="21"/>
        </w:rPr>
      </w:pPr>
      <w:r>
        <w:rPr>
          <w:rFonts w:hint="eastAsia" w:ascii="宋体" w:hAnsi="宋体"/>
          <w:szCs w:val="21"/>
        </w:rPr>
        <w:t>3.2.6 国有投资项目其他主要人员变更参照《重庆市政府投资项目合同变更管理暂行办法》的规定。</w:t>
      </w:r>
    </w:p>
    <w:p>
      <w:pPr>
        <w:pStyle w:val="8"/>
        <w:spacing w:before="0" w:after="0" w:line="360" w:lineRule="auto"/>
        <w:ind w:firstLine="422" w:firstLineChars="200"/>
        <w:rPr>
          <w:sz w:val="21"/>
          <w:szCs w:val="21"/>
        </w:rPr>
      </w:pPr>
      <w:bookmarkStart w:id="569" w:name="_Toc532377337"/>
      <w:r>
        <w:rPr>
          <w:rFonts w:hint="eastAsia"/>
          <w:sz w:val="21"/>
          <w:szCs w:val="21"/>
        </w:rPr>
        <w:t>3.3 承包人人员</w:t>
      </w:r>
      <w:bookmarkEnd w:id="569"/>
    </w:p>
    <w:p>
      <w:pPr>
        <w:spacing w:line="360" w:lineRule="auto"/>
        <w:ind w:firstLine="420" w:firstLineChars="200"/>
        <w:jc w:val="left"/>
        <w:rPr>
          <w:rFonts w:ascii="宋体" w:hAnsi="宋体"/>
          <w:szCs w:val="21"/>
        </w:rPr>
      </w:pPr>
      <w:r>
        <w:rPr>
          <w:rFonts w:hint="eastAsia" w:ascii="宋体" w:hAnsi="宋体"/>
          <w:szCs w:val="21"/>
        </w:rPr>
        <w:t>3.3.1 承包人应按建设行政主管部门现行规定配备现场施工从业人员，具体要求如下：</w:t>
      </w:r>
      <w:r>
        <w:rPr>
          <w:rFonts w:hint="eastAsia" w:ascii="宋体" w:hAnsi="宋体"/>
          <w:szCs w:val="21"/>
          <w:u w:val="single"/>
        </w:rPr>
        <w:t>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spacing w:line="360" w:lineRule="auto"/>
        <w:ind w:firstLine="420" w:firstLineChars="200"/>
        <w:jc w:val="left"/>
        <w:rPr>
          <w:rFonts w:ascii="宋体" w:hAnsi="宋体"/>
          <w:szCs w:val="21"/>
        </w:rPr>
      </w:pPr>
      <w:r>
        <w:rPr>
          <w:rFonts w:hint="eastAsia" w:ascii="宋体" w:hAnsi="宋体"/>
          <w:szCs w:val="21"/>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pPr>
        <w:spacing w:line="360" w:lineRule="auto"/>
        <w:ind w:firstLine="420" w:firstLineChars="200"/>
        <w:jc w:val="left"/>
        <w:rPr>
          <w:rFonts w:ascii="宋体" w:hAnsi="宋体"/>
          <w:szCs w:val="21"/>
        </w:rPr>
      </w:pPr>
      <w:r>
        <w:rPr>
          <w:rFonts w:hint="eastAsia" w:ascii="宋体" w:hAnsi="宋体"/>
          <w:szCs w:val="21"/>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pPr>
        <w:spacing w:line="360" w:lineRule="auto"/>
        <w:ind w:firstLine="420" w:firstLineChars="200"/>
        <w:jc w:val="left"/>
        <w:rPr>
          <w:rFonts w:ascii="宋体" w:hAnsi="宋体"/>
          <w:szCs w:val="21"/>
        </w:rPr>
      </w:pPr>
      <w:r>
        <w:rPr>
          <w:rFonts w:hint="eastAsia" w:ascii="宋体" w:hAnsi="宋体"/>
          <w:szCs w:val="21"/>
        </w:rPr>
        <w:t>3.3.4 承包人主要施工管理人员离开施工现场，指定的临时人员需满足：</w:t>
      </w:r>
      <w:r>
        <w:rPr>
          <w:rFonts w:hint="eastAsia" w:ascii="宋体" w:hAnsi="宋体"/>
          <w:szCs w:val="21"/>
          <w:u w:val="single"/>
        </w:rPr>
        <w:t>《重庆市房屋建筑与市政基础设施工程现场施工从业人员配备标准》（DBJ50-157-2013）的相应要求</w:t>
      </w:r>
      <w:r>
        <w:rPr>
          <w:rFonts w:hint="eastAsia" w:ascii="宋体" w:hAnsi="宋体"/>
          <w:szCs w:val="21"/>
        </w:rPr>
        <w:t>。</w:t>
      </w:r>
    </w:p>
    <w:p>
      <w:pPr>
        <w:pStyle w:val="8"/>
        <w:spacing w:before="0" w:after="0" w:line="360" w:lineRule="auto"/>
        <w:ind w:firstLine="422" w:firstLineChars="200"/>
        <w:rPr>
          <w:sz w:val="21"/>
          <w:szCs w:val="21"/>
        </w:rPr>
      </w:pPr>
      <w:bookmarkStart w:id="570" w:name="_Toc532377338"/>
      <w:r>
        <w:rPr>
          <w:rFonts w:hint="eastAsia"/>
          <w:sz w:val="21"/>
          <w:szCs w:val="21"/>
        </w:rPr>
        <w:t>3</w:t>
      </w:r>
      <w:bookmarkStart w:id="571" w:name="_Toc292559869"/>
      <w:bookmarkStart w:id="572" w:name="_Toc297216151"/>
      <w:bookmarkStart w:id="573" w:name="_Toc300934945"/>
      <w:bookmarkStart w:id="574" w:name="_Toc304295523"/>
      <w:bookmarkStart w:id="575" w:name="_Toc297048345"/>
      <w:bookmarkStart w:id="576" w:name="_Toc303539102"/>
      <w:bookmarkStart w:id="577" w:name="_Toc296346660"/>
      <w:bookmarkStart w:id="578" w:name="_Toc296890987"/>
      <w:bookmarkStart w:id="579" w:name="_Toc296503159"/>
      <w:bookmarkStart w:id="580" w:name="_Toc296944498"/>
      <w:bookmarkStart w:id="581" w:name="_Toc297120459"/>
      <w:bookmarkStart w:id="582" w:name="_Toc292559364"/>
      <w:bookmarkStart w:id="583" w:name="_Toc297123492"/>
      <w:bookmarkStart w:id="584" w:name="_Toc296347158"/>
      <w:bookmarkStart w:id="585" w:name="_Toc312677988"/>
      <w:bookmarkStart w:id="586" w:name="_Toc296891199"/>
      <w:r>
        <w:rPr>
          <w:rFonts w:hint="eastAsia"/>
          <w:sz w:val="21"/>
          <w:szCs w:val="21"/>
        </w:rPr>
        <w:t>.5 分包</w:t>
      </w:r>
      <w:bookmarkEnd w:id="570"/>
    </w:p>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Pr>
        <w:spacing w:line="360" w:lineRule="auto"/>
        <w:ind w:firstLine="420" w:firstLineChars="200"/>
        <w:jc w:val="left"/>
        <w:rPr>
          <w:rFonts w:ascii="宋体" w:hAnsi="宋体"/>
          <w:szCs w:val="21"/>
        </w:rPr>
      </w:pPr>
      <w:r>
        <w:rPr>
          <w:rFonts w:hint="eastAsia" w:ascii="宋体" w:hAnsi="宋体"/>
          <w:szCs w:val="21"/>
        </w:rPr>
        <w:t>3</w:t>
      </w:r>
      <w:bookmarkStart w:id="587" w:name="_Toc297123493"/>
      <w:bookmarkStart w:id="588" w:name="_Toc303539103"/>
      <w:bookmarkStart w:id="589" w:name="_Toc296503160"/>
      <w:bookmarkStart w:id="590" w:name="_Toc296347159"/>
      <w:bookmarkStart w:id="591" w:name="_Toc296890988"/>
      <w:bookmarkStart w:id="592" w:name="_Toc304295524"/>
      <w:bookmarkStart w:id="593" w:name="_Toc300934946"/>
      <w:bookmarkStart w:id="594" w:name="_Toc318581158"/>
      <w:bookmarkStart w:id="595" w:name="_Toc292559870"/>
      <w:bookmarkStart w:id="596" w:name="_Toc292559365"/>
      <w:bookmarkStart w:id="597" w:name="_Toc297120460"/>
      <w:bookmarkStart w:id="598" w:name="_Toc296891200"/>
      <w:bookmarkStart w:id="599" w:name="_Toc296346661"/>
      <w:bookmarkStart w:id="600" w:name="_Toc297048346"/>
      <w:bookmarkStart w:id="601" w:name="_Toc296944499"/>
      <w:bookmarkStart w:id="602" w:name="_Toc312677989"/>
      <w:bookmarkStart w:id="603" w:name="_Toc297216152"/>
      <w:r>
        <w:rPr>
          <w:rFonts w:hint="eastAsia" w:ascii="宋体" w:hAnsi="宋体"/>
          <w:szCs w:val="21"/>
        </w:rPr>
        <w:t>.5.1 分包的一般约定</w:t>
      </w:r>
    </w:p>
    <w:p>
      <w:pPr>
        <w:spacing w:line="360" w:lineRule="auto"/>
        <w:ind w:firstLine="420" w:firstLineChars="200"/>
        <w:jc w:val="left"/>
        <w:rPr>
          <w:rFonts w:ascii="宋体" w:hAnsi="宋体"/>
          <w:szCs w:val="21"/>
        </w:rPr>
      </w:pPr>
      <w:r>
        <w:rPr>
          <w:rFonts w:hint="eastAsia" w:ascii="宋体" w:hAnsi="宋体"/>
          <w:szCs w:val="21"/>
        </w:rPr>
        <w:t>禁止分包的工程包括：主体结构、关键性工作等国家法律、法规禁止分包的工程。</w:t>
      </w:r>
    </w:p>
    <w:p>
      <w:pPr>
        <w:spacing w:line="360" w:lineRule="auto"/>
        <w:ind w:firstLine="420" w:firstLineChars="200"/>
        <w:jc w:val="left"/>
        <w:rPr>
          <w:rFonts w:ascii="宋体" w:hAnsi="宋体"/>
          <w:szCs w:val="21"/>
        </w:rPr>
      </w:pPr>
      <w:r>
        <w:rPr>
          <w:rFonts w:hint="eastAsia" w:ascii="宋体" w:hAnsi="宋体"/>
          <w:szCs w:val="21"/>
        </w:rPr>
        <w:t>主体结构、关键性工作的范围：国家法律、法规、规范、标准等所约束的范围。如房建工程主体结构指混凝土工程、砌体工程、钢结构工程（具体有基础、梁、板、柱、砼墙、楼梯工程等）</w:t>
      </w:r>
      <w:bookmarkStart w:id="604" w:name="_Toc296891201"/>
      <w:bookmarkStart w:id="605" w:name="_Toc303539104"/>
      <w:bookmarkStart w:id="606" w:name="_Toc296944500"/>
      <w:bookmarkStart w:id="607" w:name="_Toc297048347"/>
      <w:bookmarkStart w:id="608" w:name="_Toc300934947"/>
      <w:bookmarkStart w:id="609" w:name="_Toc296347160"/>
      <w:bookmarkStart w:id="610" w:name="_Toc297216153"/>
      <w:bookmarkStart w:id="611" w:name="_Toc296890989"/>
      <w:bookmarkStart w:id="612" w:name="_Toc297120461"/>
      <w:bookmarkStart w:id="613" w:name="_Toc297123494"/>
      <w:bookmarkStart w:id="614" w:name="_Toc304295525"/>
      <w:bookmarkStart w:id="615" w:name="_Toc296503161"/>
      <w:bookmarkStart w:id="616" w:name="_Toc296346662"/>
      <w:r>
        <w:rPr>
          <w:rFonts w:hint="eastAsia" w:ascii="宋体" w:hAnsi="宋体"/>
          <w:szCs w:val="21"/>
        </w:rPr>
        <w:t>；关键性工作指梁、板、柱等部位。</w:t>
      </w:r>
    </w:p>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Pr>
        <w:spacing w:line="360" w:lineRule="auto"/>
        <w:ind w:firstLine="420" w:firstLineChars="200"/>
        <w:jc w:val="left"/>
        <w:rPr>
          <w:rFonts w:ascii="宋体" w:hAnsi="宋体"/>
          <w:szCs w:val="21"/>
        </w:rPr>
      </w:pPr>
      <w:r>
        <w:rPr>
          <w:rFonts w:hint="eastAsia" w:ascii="宋体" w:hAnsi="宋体"/>
          <w:szCs w:val="21"/>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pPr>
        <w:spacing w:line="360" w:lineRule="auto"/>
        <w:ind w:firstLine="420" w:firstLineChars="200"/>
        <w:jc w:val="left"/>
        <w:rPr>
          <w:rFonts w:ascii="宋体" w:hAnsi="宋体"/>
          <w:szCs w:val="21"/>
        </w:rPr>
      </w:pPr>
      <w:r>
        <w:rPr>
          <w:rFonts w:hint="eastAsia" w:ascii="宋体" w:hAnsi="宋体"/>
          <w:szCs w:val="21"/>
        </w:rPr>
        <w:t>3</w:t>
      </w:r>
      <w:bookmarkStart w:id="617" w:name="_Toc318581159"/>
      <w:bookmarkStart w:id="618" w:name="_Toc312677990"/>
      <w:r>
        <w:rPr>
          <w:rFonts w:hint="eastAsia" w:ascii="宋体" w:hAnsi="宋体"/>
          <w:szCs w:val="21"/>
        </w:rPr>
        <w:t>.5.2分包的确定</w:t>
      </w:r>
    </w:p>
    <w:p>
      <w:pPr>
        <w:spacing w:line="360" w:lineRule="auto"/>
        <w:ind w:firstLine="420" w:firstLineChars="200"/>
        <w:jc w:val="left"/>
        <w:rPr>
          <w:rFonts w:ascii="宋体" w:hAnsi="宋体"/>
          <w:szCs w:val="21"/>
        </w:rPr>
      </w:pPr>
      <w:r>
        <w:rPr>
          <w:rFonts w:hint="eastAsia" w:ascii="宋体" w:hAnsi="宋体"/>
          <w:szCs w:val="21"/>
        </w:rPr>
        <w:t>允许分包的专业工程包括：符合《中华人民共和国建筑法》和《中华人民共和国招标投标法》的相关规定。</w:t>
      </w:r>
    </w:p>
    <w:p>
      <w:pPr>
        <w:spacing w:line="360" w:lineRule="auto"/>
        <w:ind w:firstLine="420" w:firstLineChars="200"/>
        <w:jc w:val="left"/>
        <w:rPr>
          <w:rFonts w:ascii="宋体" w:hAnsi="宋体"/>
          <w:szCs w:val="21"/>
        </w:rPr>
      </w:pPr>
      <w:r>
        <w:rPr>
          <w:rFonts w:hint="eastAsia" w:ascii="宋体" w:hAnsi="宋体"/>
          <w:szCs w:val="21"/>
        </w:rPr>
        <w:t>3.5.4 分包合同价款</w:t>
      </w:r>
    </w:p>
    <w:p>
      <w:pPr>
        <w:spacing w:line="360" w:lineRule="auto"/>
        <w:ind w:firstLine="420" w:firstLineChars="200"/>
        <w:jc w:val="left"/>
        <w:rPr>
          <w:rFonts w:ascii="宋体" w:hAnsi="宋体"/>
          <w:szCs w:val="21"/>
        </w:rPr>
      </w:pPr>
      <w:r>
        <w:rPr>
          <w:rFonts w:hint="eastAsia" w:ascii="宋体" w:hAnsi="宋体"/>
          <w:szCs w:val="21"/>
        </w:rPr>
        <w:t>关于分包合同价款支付的约定：</w:t>
      </w:r>
      <w:bookmarkEnd w:id="617"/>
      <w:bookmarkEnd w:id="618"/>
      <w:r>
        <w:rPr>
          <w:rFonts w:hint="eastAsia" w:ascii="宋体" w:hAnsi="宋体"/>
          <w:szCs w:val="21"/>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本款补充3.5.6项：</w:t>
      </w:r>
    </w:p>
    <w:p>
      <w:pPr>
        <w:spacing w:line="360" w:lineRule="auto"/>
        <w:ind w:firstLine="420" w:firstLineChars="200"/>
        <w:jc w:val="left"/>
        <w:rPr>
          <w:rFonts w:ascii="宋体" w:hAnsi="宋体"/>
          <w:szCs w:val="21"/>
        </w:rPr>
      </w:pPr>
      <w:r>
        <w:rPr>
          <w:rFonts w:hint="eastAsia" w:ascii="宋体" w:hAnsi="宋体"/>
          <w:szCs w:val="21"/>
        </w:rPr>
        <w:t>3.5.6严禁违法分包</w:t>
      </w:r>
    </w:p>
    <w:p>
      <w:pPr>
        <w:spacing w:line="360" w:lineRule="auto"/>
        <w:ind w:firstLine="420" w:firstLineChars="200"/>
        <w:jc w:val="left"/>
        <w:rPr>
          <w:rFonts w:ascii="宋体" w:hAnsi="宋体"/>
          <w:szCs w:val="21"/>
        </w:rPr>
      </w:pPr>
      <w:r>
        <w:rPr>
          <w:rFonts w:hint="eastAsia" w:ascii="宋体" w:hAnsi="宋体"/>
          <w:szCs w:val="21"/>
        </w:rPr>
        <w:t>一经查实，承包人的履约担保不予退还，终止合同；同时发包人有权向相关行政监管部门举报，根据《住房和城乡建设部关于印发建筑工程施工发包与承包违法行为认定查处管理办法的通知》（建市规〔2019〕1号）相关规定条执行。</w:t>
      </w:r>
    </w:p>
    <w:p>
      <w:pPr>
        <w:pStyle w:val="8"/>
        <w:spacing w:before="0" w:after="0" w:line="360" w:lineRule="auto"/>
        <w:ind w:firstLine="422" w:firstLineChars="200"/>
        <w:rPr>
          <w:sz w:val="21"/>
          <w:szCs w:val="21"/>
        </w:rPr>
      </w:pPr>
      <w:bookmarkStart w:id="619" w:name="_Toc532377339"/>
      <w:r>
        <w:rPr>
          <w:rFonts w:hint="eastAsia"/>
          <w:sz w:val="21"/>
          <w:szCs w:val="21"/>
        </w:rPr>
        <w:t>3.7 履约担保</w:t>
      </w:r>
      <w:bookmarkEnd w:id="619"/>
    </w:p>
    <w:p>
      <w:pPr>
        <w:spacing w:line="360" w:lineRule="auto"/>
        <w:ind w:firstLine="420" w:firstLineChars="200"/>
        <w:jc w:val="left"/>
        <w:rPr>
          <w:rFonts w:ascii="宋体" w:hAnsi="宋体"/>
          <w:szCs w:val="21"/>
        </w:rPr>
      </w:pPr>
      <w:r>
        <w:rPr>
          <w:rFonts w:hint="eastAsia" w:ascii="宋体" w:hAnsi="宋体"/>
          <w:szCs w:val="21"/>
        </w:rPr>
        <w:t>3.7.1承包人是否提供履约担保：</w:t>
      </w:r>
      <w:r>
        <w:rPr>
          <w:rFonts w:hint="eastAsia" w:ascii="宋体" w:hAnsi="宋体"/>
          <w:szCs w:val="21"/>
          <w:u w:val="single"/>
        </w:rPr>
        <w:t>提供</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3.7.2承包人提供履约担保的形式、金额及期限：</w:t>
      </w:r>
    </w:p>
    <w:p>
      <w:pPr>
        <w:spacing w:line="360" w:lineRule="auto"/>
        <w:ind w:firstLine="420" w:firstLineChars="200"/>
        <w:jc w:val="left"/>
        <w:rPr>
          <w:rFonts w:ascii="宋体" w:hAnsi="宋体"/>
          <w:szCs w:val="21"/>
        </w:rPr>
      </w:pPr>
      <w:r>
        <w:rPr>
          <w:rFonts w:hint="eastAsia" w:ascii="宋体" w:hAnsi="宋体"/>
          <w:szCs w:val="21"/>
        </w:rPr>
        <w:t>（1）履约担保的形式：</w:t>
      </w:r>
      <w:r>
        <w:rPr>
          <w:rFonts w:hint="eastAsia" w:ascii="宋体" w:hAnsi="宋体"/>
          <w:szCs w:val="21"/>
          <w:u w:val="single"/>
        </w:rPr>
        <w:t>现金或不可撤销的见索即付银行保函</w:t>
      </w:r>
      <w:r>
        <w:rPr>
          <w:rFonts w:hint="eastAsia" w:ascii="宋体" w:hAnsi="宋体"/>
          <w:szCs w:val="21"/>
        </w:rPr>
        <w:t>；</w:t>
      </w:r>
    </w:p>
    <w:p>
      <w:pPr>
        <w:tabs>
          <w:tab w:val="left" w:pos="1134"/>
        </w:tabs>
        <w:spacing w:line="360" w:lineRule="auto"/>
        <w:ind w:firstLine="420" w:firstLineChars="200"/>
        <w:jc w:val="left"/>
        <w:rPr>
          <w:rFonts w:ascii="宋体" w:hAnsi="宋体"/>
          <w:szCs w:val="21"/>
        </w:rPr>
      </w:pPr>
      <w:r>
        <w:rPr>
          <w:rFonts w:hint="eastAsia" w:ascii="宋体" w:hAnsi="宋体"/>
          <w:szCs w:val="21"/>
        </w:rPr>
        <w:t>（2）履约担保的金额：</w:t>
      </w:r>
      <w:r>
        <w:rPr>
          <w:rFonts w:hint="eastAsia" w:ascii="宋体" w:hAnsi="宋体"/>
          <w:szCs w:val="21"/>
          <w:u w:val="single"/>
        </w:rPr>
        <w:t>中标价的10%</w:t>
      </w:r>
      <w:r>
        <w:rPr>
          <w:rFonts w:hint="eastAsia" w:ascii="宋体" w:hAnsi="宋体"/>
          <w:szCs w:val="21"/>
        </w:rPr>
        <w:t>；</w:t>
      </w:r>
    </w:p>
    <w:p>
      <w:pPr>
        <w:tabs>
          <w:tab w:val="left" w:pos="1134"/>
        </w:tabs>
        <w:spacing w:line="360" w:lineRule="auto"/>
        <w:ind w:firstLine="420" w:firstLineChars="200"/>
        <w:jc w:val="left"/>
        <w:rPr>
          <w:rFonts w:ascii="宋体" w:hAnsi="宋体"/>
          <w:szCs w:val="21"/>
        </w:rPr>
      </w:pPr>
      <w:r>
        <w:rPr>
          <w:rFonts w:hint="eastAsia" w:ascii="宋体" w:hAnsi="宋体"/>
          <w:szCs w:val="21"/>
        </w:rPr>
        <w:t>（3）履约担保的提交时间：</w:t>
      </w:r>
      <w:r>
        <w:rPr>
          <w:rFonts w:hint="eastAsia"/>
          <w:u w:val="single"/>
        </w:rPr>
        <w:t>中标通知书发出后5日内且合同签订前提交</w:t>
      </w:r>
      <w:r>
        <w:rPr>
          <w:rFonts w:hint="eastAsia" w:ascii="宋体" w:hAnsi="宋体"/>
          <w:szCs w:val="21"/>
          <w:u w:val="single"/>
        </w:rPr>
        <w:t>，承包人按担保金额向发包人提交履约担保</w:t>
      </w:r>
      <w:r>
        <w:rPr>
          <w:rFonts w:hint="eastAsia" w:ascii="宋体" w:hAnsi="宋体"/>
          <w:szCs w:val="21"/>
        </w:rPr>
        <w:t>。</w:t>
      </w:r>
    </w:p>
    <w:p>
      <w:pPr>
        <w:tabs>
          <w:tab w:val="left" w:pos="1134"/>
        </w:tabs>
        <w:spacing w:line="360" w:lineRule="auto"/>
        <w:ind w:firstLine="420" w:firstLineChars="200"/>
        <w:jc w:val="left"/>
        <w:rPr>
          <w:rFonts w:ascii="宋体" w:hAnsi="宋体"/>
          <w:szCs w:val="21"/>
        </w:rPr>
      </w:pPr>
      <w:r>
        <w:rPr>
          <w:rFonts w:hint="eastAsia" w:ascii="宋体" w:hAnsi="宋体"/>
          <w:szCs w:val="21"/>
        </w:rPr>
        <w:t>（4）履约担保的期限：</w:t>
      </w:r>
      <w:r>
        <w:rPr>
          <w:rFonts w:hint="eastAsia" w:ascii="宋体" w:hAnsi="宋体"/>
          <w:szCs w:val="21"/>
          <w:u w:val="single"/>
        </w:rPr>
        <w:t>自提交履约担保之日起至竣工验收合格之日止</w:t>
      </w:r>
      <w:r>
        <w:rPr>
          <w:rFonts w:hint="eastAsia" w:ascii="宋体" w:hAnsi="宋体"/>
          <w:szCs w:val="21"/>
        </w:rPr>
        <w:t>。</w:t>
      </w:r>
    </w:p>
    <w:p>
      <w:pPr>
        <w:tabs>
          <w:tab w:val="left" w:pos="1134"/>
        </w:tabs>
        <w:spacing w:line="360" w:lineRule="auto"/>
        <w:ind w:firstLine="420" w:firstLineChars="200"/>
        <w:jc w:val="left"/>
        <w:rPr>
          <w:rFonts w:ascii="宋体" w:hAnsi="宋体"/>
          <w:szCs w:val="21"/>
        </w:rPr>
      </w:pPr>
      <w:r>
        <w:rPr>
          <w:rFonts w:hint="eastAsia" w:ascii="宋体" w:hAnsi="宋体"/>
          <w:szCs w:val="21"/>
        </w:rPr>
        <w:t>（5）履约担保的退还时间：</w:t>
      </w:r>
      <w:r>
        <w:rPr>
          <w:rFonts w:hint="eastAsia" w:ascii="宋体" w:cs="仿宋"/>
          <w:kern w:val="0"/>
          <w:szCs w:val="21"/>
          <w:u w:val="single"/>
        </w:rPr>
        <w:t>工程竣工验收合格后30日内一次性不计息返还</w:t>
      </w:r>
      <w:r>
        <w:rPr>
          <w:rFonts w:hint="eastAsia" w:ascii="宋体" w:hAnsi="宋体"/>
          <w:szCs w:val="21"/>
          <w:u w:val="single"/>
        </w:rPr>
        <w:t>。</w:t>
      </w:r>
    </w:p>
    <w:p>
      <w:pPr>
        <w:pStyle w:val="7"/>
        <w:spacing w:before="120" w:beforeLines="50" w:after="120" w:afterLines="50" w:line="360" w:lineRule="auto"/>
        <w:rPr>
          <w:sz w:val="21"/>
          <w:szCs w:val="21"/>
        </w:rPr>
      </w:pPr>
      <w:bookmarkStart w:id="620" w:name="_Toc351203636"/>
      <w:bookmarkStart w:id="621" w:name="_Toc532377340"/>
      <w:bookmarkStart w:id="622" w:name="_Toc532375611"/>
      <w:r>
        <w:rPr>
          <w:rFonts w:hint="eastAsia"/>
          <w:sz w:val="21"/>
          <w:szCs w:val="21"/>
        </w:rPr>
        <w:t>4</w:t>
      </w:r>
      <w:bookmarkStart w:id="623" w:name="_Toc296346663"/>
      <w:bookmarkStart w:id="624" w:name="_Toc296503162"/>
      <w:bookmarkStart w:id="625" w:name="_Toc296944501"/>
      <w:bookmarkStart w:id="626" w:name="_Toc292559366"/>
      <w:bookmarkStart w:id="627" w:name="_Toc297120462"/>
      <w:bookmarkStart w:id="628" w:name="_Toc296891202"/>
      <w:bookmarkStart w:id="629" w:name="_Toc267251413"/>
      <w:bookmarkStart w:id="630" w:name="_Toc292559871"/>
      <w:bookmarkStart w:id="631" w:name="_Toc296347161"/>
      <w:bookmarkStart w:id="632" w:name="_Toc297048348"/>
      <w:bookmarkStart w:id="633" w:name="_Toc296890990"/>
      <w:r>
        <w:rPr>
          <w:rFonts w:hint="eastAsia"/>
          <w:sz w:val="21"/>
          <w:szCs w:val="21"/>
        </w:rPr>
        <w:t>. 监</w:t>
      </w:r>
      <w:bookmarkEnd w:id="623"/>
      <w:bookmarkEnd w:id="624"/>
      <w:bookmarkEnd w:id="625"/>
      <w:bookmarkEnd w:id="626"/>
      <w:bookmarkEnd w:id="627"/>
      <w:bookmarkEnd w:id="628"/>
      <w:bookmarkEnd w:id="629"/>
      <w:bookmarkEnd w:id="630"/>
      <w:bookmarkEnd w:id="631"/>
      <w:bookmarkEnd w:id="632"/>
      <w:bookmarkEnd w:id="633"/>
      <w:r>
        <w:rPr>
          <w:rFonts w:hint="eastAsia"/>
          <w:sz w:val="21"/>
          <w:szCs w:val="21"/>
        </w:rPr>
        <w:t>理人</w:t>
      </w:r>
      <w:bookmarkEnd w:id="620"/>
      <w:bookmarkEnd w:id="621"/>
      <w:bookmarkEnd w:id="622"/>
    </w:p>
    <w:p>
      <w:pPr>
        <w:pStyle w:val="8"/>
        <w:spacing w:before="0" w:after="0" w:line="360" w:lineRule="auto"/>
        <w:ind w:firstLine="422" w:firstLineChars="200"/>
        <w:rPr>
          <w:sz w:val="21"/>
          <w:szCs w:val="21"/>
        </w:rPr>
      </w:pPr>
      <w:bookmarkStart w:id="634" w:name="_Toc532377341"/>
      <w:r>
        <w:rPr>
          <w:rFonts w:hint="eastAsia"/>
          <w:sz w:val="21"/>
          <w:szCs w:val="21"/>
        </w:rPr>
        <w:t>4.1 监理人的一般规定</w:t>
      </w:r>
      <w:bookmarkEnd w:id="634"/>
    </w:p>
    <w:p>
      <w:pPr>
        <w:spacing w:line="360" w:lineRule="auto"/>
        <w:ind w:firstLine="420" w:firstLineChars="200"/>
        <w:jc w:val="left"/>
        <w:rPr>
          <w:rFonts w:ascii="宋体" w:hAnsi="宋体"/>
          <w:szCs w:val="21"/>
        </w:rPr>
      </w:pPr>
      <w:r>
        <w:rPr>
          <w:rFonts w:hint="eastAsia" w:ascii="宋体" w:hAnsi="宋体"/>
          <w:szCs w:val="21"/>
        </w:rPr>
        <w:t>关于监理人的监理内容：</w:t>
      </w:r>
      <w:r>
        <w:rPr>
          <w:rFonts w:hint="eastAsia" w:ascii="宋体" w:hAnsi="宋体"/>
          <w:szCs w:val="21"/>
          <w:u w:val="single"/>
        </w:rPr>
        <w:t>见发包人与监理人就本工程签订的监理合同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关于监理人的监理权限：</w:t>
      </w:r>
      <w:r>
        <w:rPr>
          <w:rFonts w:hint="eastAsia" w:ascii="宋体" w:hAnsi="宋体"/>
          <w:szCs w:val="21"/>
          <w:u w:val="single"/>
        </w:rPr>
        <w:t>见发包人与监理人就本工程签订的监理合同；任何涉及费用确定和（或）工期调整，或者设计变更，或者变更估价，或者涉及经济责任的事项，监理工程师在发出指令或通知前，须征得发包人同意</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关于监理人在施工现场的办公场所、生活场所的提供和费用承担的约定：</w:t>
      </w:r>
      <w:r>
        <w:rPr>
          <w:rFonts w:hint="eastAsia" w:ascii="宋体" w:hAnsi="宋体"/>
          <w:szCs w:val="21"/>
          <w:u w:val="single"/>
        </w:rPr>
        <w:t>甲方承担监理费用，办公场地由甲方提供，生活场所由乙方提供</w:t>
      </w:r>
      <w:r>
        <w:rPr>
          <w:rFonts w:hint="eastAsia" w:ascii="宋体" w:hAnsi="宋体"/>
          <w:szCs w:val="21"/>
        </w:rPr>
        <w:t>。</w:t>
      </w:r>
    </w:p>
    <w:p>
      <w:pPr>
        <w:pStyle w:val="8"/>
        <w:spacing w:before="0" w:after="0" w:line="360" w:lineRule="auto"/>
        <w:ind w:firstLine="422" w:firstLineChars="200"/>
        <w:rPr>
          <w:sz w:val="21"/>
          <w:szCs w:val="21"/>
        </w:rPr>
      </w:pPr>
      <w:bookmarkStart w:id="635" w:name="_Toc532377342"/>
      <w:r>
        <w:rPr>
          <w:rFonts w:hint="eastAsia"/>
          <w:sz w:val="21"/>
          <w:szCs w:val="21"/>
        </w:rPr>
        <w:t>4.2 监理人员</w:t>
      </w:r>
      <w:bookmarkEnd w:id="635"/>
    </w:p>
    <w:p>
      <w:pPr>
        <w:spacing w:line="360" w:lineRule="auto"/>
        <w:ind w:firstLine="420" w:firstLineChars="200"/>
        <w:jc w:val="left"/>
        <w:rPr>
          <w:rFonts w:ascii="宋体" w:hAnsi="宋体"/>
          <w:szCs w:val="21"/>
        </w:rPr>
      </w:pPr>
      <w:r>
        <w:rPr>
          <w:rFonts w:hint="eastAsia" w:ascii="宋体" w:hAnsi="宋体"/>
          <w:szCs w:val="21"/>
        </w:rPr>
        <w:t>总监理工程师：</w:t>
      </w:r>
    </w:p>
    <w:p>
      <w:pPr>
        <w:spacing w:line="360" w:lineRule="auto"/>
        <w:ind w:firstLine="420" w:firstLineChars="200"/>
        <w:jc w:val="left"/>
        <w:rPr>
          <w:rFonts w:ascii="宋体" w:hAnsi="宋体"/>
          <w:szCs w:val="21"/>
        </w:rPr>
      </w:pPr>
      <w:r>
        <w:rPr>
          <w:rFonts w:hint="eastAsia" w:ascii="宋体" w:hAnsi="宋体"/>
          <w:szCs w:val="21"/>
        </w:rPr>
        <w:t>姓    名：</w:t>
      </w:r>
      <w:r>
        <w:rPr>
          <w:rFonts w:ascii="宋体" w:hAnsi="宋体"/>
          <w:szCs w:val="21"/>
          <w:u w:val="single"/>
        </w:rPr>
        <w:t xml:space="preserve">      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职    务：</w:t>
      </w:r>
      <w:r>
        <w:rPr>
          <w:rFonts w:ascii="宋体" w:hAnsi="宋体"/>
          <w:szCs w:val="21"/>
          <w:u w:val="single"/>
        </w:rPr>
        <w:t xml:space="preserve">      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监理工程师执业资格证书号：</w:t>
      </w:r>
      <w:r>
        <w:rPr>
          <w:rFonts w:ascii="宋体" w:hAnsi="宋体"/>
          <w:szCs w:val="21"/>
          <w:u w:val="single"/>
        </w:rPr>
        <w:t xml:space="preserve">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关于监理人的其他约定：</w:t>
      </w:r>
      <w:r>
        <w:rPr>
          <w:rFonts w:hint="eastAsia" w:ascii="宋体" w:hAnsi="宋体"/>
          <w:szCs w:val="21"/>
          <w:u w:val="single"/>
        </w:rPr>
        <w:t>见发包人与监理人就本工程签订的监理合同</w:t>
      </w:r>
      <w:r>
        <w:rPr>
          <w:rFonts w:hint="eastAsia" w:ascii="宋体" w:hAnsi="宋体"/>
          <w:szCs w:val="21"/>
        </w:rPr>
        <w:t>。</w:t>
      </w:r>
    </w:p>
    <w:p>
      <w:pPr>
        <w:pStyle w:val="8"/>
        <w:spacing w:before="0" w:after="0" w:line="360" w:lineRule="auto"/>
        <w:ind w:firstLine="420" w:firstLineChars="200"/>
        <w:rPr>
          <w:b w:val="0"/>
          <w:sz w:val="21"/>
          <w:szCs w:val="21"/>
        </w:rPr>
      </w:pPr>
      <w:bookmarkStart w:id="636" w:name="_Toc532377343"/>
      <w:r>
        <w:rPr>
          <w:rFonts w:hint="eastAsia"/>
          <w:b w:val="0"/>
          <w:sz w:val="21"/>
          <w:szCs w:val="21"/>
        </w:rPr>
        <w:t>4.4 商定或确定</w:t>
      </w:r>
      <w:bookmarkEnd w:id="636"/>
    </w:p>
    <w:p>
      <w:pPr>
        <w:spacing w:line="360" w:lineRule="auto"/>
        <w:ind w:firstLine="420" w:firstLineChars="200"/>
        <w:jc w:val="left"/>
        <w:rPr>
          <w:rFonts w:ascii="宋体" w:hAnsi="宋体"/>
          <w:szCs w:val="21"/>
        </w:rPr>
      </w:pPr>
      <w:bookmarkStart w:id="637" w:name="_Toc267251418"/>
      <w:r>
        <w:rPr>
          <w:rFonts w:hint="eastAsia" w:ascii="宋体" w:hAnsi="宋体"/>
          <w:szCs w:val="21"/>
        </w:rPr>
        <w:t>在发包人和承包人不能通过协商达成一致意见时，发包人授权监理人对以下事项进行确定：</w:t>
      </w:r>
    </w:p>
    <w:p>
      <w:pPr>
        <w:spacing w:line="360" w:lineRule="auto"/>
        <w:ind w:firstLine="420" w:firstLineChars="200"/>
        <w:jc w:val="left"/>
        <w:rPr>
          <w:rFonts w:ascii="宋体" w:hAnsi="宋体"/>
          <w:szCs w:val="21"/>
        </w:rPr>
      </w:pPr>
      <w:r>
        <w:rPr>
          <w:rFonts w:hint="eastAsia" w:ascii="宋体" w:hAnsi="宋体"/>
          <w:szCs w:val="21"/>
          <w:u w:val="single"/>
        </w:rPr>
        <w:t xml:space="preserve">                          </w:t>
      </w:r>
      <w:r>
        <w:rPr>
          <w:rFonts w:hint="eastAsia" w:ascii="宋体" w:hAnsi="宋体"/>
          <w:szCs w:val="21"/>
        </w:rPr>
        <w:t>。</w:t>
      </w:r>
    </w:p>
    <w:p>
      <w:pPr>
        <w:pStyle w:val="7"/>
        <w:spacing w:before="120" w:beforeLines="50" w:after="120" w:afterLines="50" w:line="360" w:lineRule="auto"/>
        <w:rPr>
          <w:sz w:val="21"/>
          <w:szCs w:val="21"/>
        </w:rPr>
      </w:pPr>
      <w:bookmarkStart w:id="638" w:name="_Toc351203637"/>
      <w:bookmarkStart w:id="639" w:name="_Toc532377344"/>
      <w:bookmarkStart w:id="640" w:name="_Toc532375612"/>
      <w:r>
        <w:rPr>
          <w:rFonts w:hint="eastAsia"/>
          <w:sz w:val="21"/>
          <w:szCs w:val="21"/>
        </w:rPr>
        <w:t>5</w:t>
      </w:r>
      <w:bookmarkEnd w:id="637"/>
      <w:bookmarkStart w:id="641" w:name="_Toc297048349"/>
      <w:bookmarkStart w:id="642" w:name="_Toc296891203"/>
      <w:bookmarkStart w:id="643" w:name="_Toc296890991"/>
      <w:bookmarkStart w:id="644" w:name="_Toc296503163"/>
      <w:bookmarkStart w:id="645" w:name="_Toc296346664"/>
      <w:bookmarkStart w:id="646" w:name="_Toc292559367"/>
      <w:bookmarkStart w:id="647" w:name="_Toc292559872"/>
      <w:bookmarkStart w:id="648" w:name="_Toc297120463"/>
      <w:bookmarkStart w:id="649" w:name="_Toc296944502"/>
      <w:bookmarkStart w:id="650" w:name="_Toc296347162"/>
      <w:r>
        <w:rPr>
          <w:rFonts w:hint="eastAsia"/>
          <w:sz w:val="21"/>
          <w:szCs w:val="21"/>
        </w:rPr>
        <w:t>. 工程质量</w:t>
      </w:r>
      <w:bookmarkEnd w:id="638"/>
      <w:bookmarkEnd w:id="639"/>
      <w:bookmarkEnd w:id="640"/>
    </w:p>
    <w:p>
      <w:pPr>
        <w:pStyle w:val="8"/>
        <w:spacing w:before="0" w:after="0" w:line="360" w:lineRule="auto"/>
        <w:ind w:firstLine="422" w:firstLineChars="200"/>
        <w:rPr>
          <w:sz w:val="21"/>
          <w:szCs w:val="21"/>
        </w:rPr>
      </w:pPr>
      <w:bookmarkStart w:id="651" w:name="_Toc532377345"/>
      <w:r>
        <w:rPr>
          <w:rFonts w:hint="eastAsia"/>
          <w:sz w:val="21"/>
          <w:szCs w:val="21"/>
        </w:rPr>
        <w:t>5.1 质量要求</w:t>
      </w:r>
      <w:bookmarkEnd w:id="651"/>
      <w:bookmarkStart w:id="652" w:name="_Hlk528909888"/>
      <w:bookmarkStart w:id="653" w:name="_Toc318581164"/>
      <w:bookmarkStart w:id="654" w:name="_Toc297216155"/>
      <w:bookmarkStart w:id="655" w:name="_Toc303539106"/>
      <w:bookmarkStart w:id="656" w:name="_Toc297123496"/>
      <w:bookmarkStart w:id="657" w:name="_Toc304295527"/>
      <w:bookmarkStart w:id="658" w:name="_Toc300934949"/>
      <w:bookmarkStart w:id="659" w:name="_Toc312677997"/>
    </w:p>
    <w:p>
      <w:pPr>
        <w:spacing w:line="360" w:lineRule="auto"/>
        <w:ind w:firstLine="420" w:firstLineChars="200"/>
        <w:jc w:val="left"/>
        <w:rPr>
          <w:rFonts w:ascii="宋体" w:hAnsi="宋体"/>
          <w:szCs w:val="21"/>
        </w:rPr>
      </w:pPr>
      <w:r>
        <w:rPr>
          <w:rFonts w:hint="eastAsia" w:ascii="宋体" w:hAnsi="宋体"/>
          <w:szCs w:val="21"/>
          <w:u w:val="single"/>
        </w:rPr>
        <w:t>工程质量符合国家有关施工质量验收规范和标准要求，达到合格标准</w:t>
      </w:r>
      <w:r>
        <w:rPr>
          <w:rFonts w:hint="eastAsia" w:ascii="宋体" w:hAnsi="宋体"/>
          <w:szCs w:val="21"/>
        </w:rPr>
        <w:t>。</w:t>
      </w:r>
    </w:p>
    <w:bookmarkEnd w:id="652"/>
    <w:p>
      <w:pPr>
        <w:pStyle w:val="8"/>
        <w:spacing w:before="0" w:after="0" w:line="360" w:lineRule="auto"/>
        <w:ind w:firstLine="422" w:firstLineChars="200"/>
        <w:rPr>
          <w:sz w:val="21"/>
          <w:szCs w:val="21"/>
        </w:rPr>
      </w:pPr>
      <w:bookmarkStart w:id="660" w:name="_Toc532377346"/>
      <w:r>
        <w:rPr>
          <w:rFonts w:hint="eastAsia"/>
          <w:sz w:val="21"/>
          <w:szCs w:val="21"/>
        </w:rPr>
        <w:t>5.2 质量保证措施</w:t>
      </w:r>
      <w:bookmarkEnd w:id="660"/>
    </w:p>
    <w:p>
      <w:pPr>
        <w:spacing w:line="360" w:lineRule="auto"/>
        <w:ind w:firstLine="420" w:firstLineChars="200"/>
        <w:jc w:val="left"/>
        <w:rPr>
          <w:rFonts w:ascii="宋体" w:hAnsi="宋体"/>
          <w:szCs w:val="21"/>
        </w:rPr>
      </w:pPr>
      <w:r>
        <w:rPr>
          <w:rFonts w:hint="eastAsia" w:ascii="宋体" w:hAnsi="宋体"/>
          <w:szCs w:val="21"/>
        </w:rPr>
        <w:t>本款补充5.2.4项：</w:t>
      </w:r>
    </w:p>
    <w:p>
      <w:pPr>
        <w:spacing w:line="360" w:lineRule="auto"/>
        <w:ind w:firstLine="420" w:firstLineChars="200"/>
        <w:jc w:val="left"/>
        <w:rPr>
          <w:rFonts w:ascii="宋体" w:hAnsi="宋体"/>
          <w:szCs w:val="21"/>
        </w:rPr>
      </w:pPr>
      <w:r>
        <w:rPr>
          <w:rFonts w:hint="eastAsia" w:ascii="宋体" w:hAnsi="宋体"/>
          <w:szCs w:val="21"/>
        </w:rPr>
        <w:t>5.2.4 在工程建设中，参建各方应严格执行以下规定（包括但不限于）：</w:t>
      </w:r>
    </w:p>
    <w:p>
      <w:pPr>
        <w:spacing w:line="360" w:lineRule="auto"/>
        <w:ind w:firstLine="420" w:firstLineChars="200"/>
        <w:jc w:val="left"/>
        <w:rPr>
          <w:rFonts w:ascii="宋体" w:hAnsi="宋体"/>
          <w:szCs w:val="21"/>
        </w:rPr>
      </w:pPr>
      <w:r>
        <w:rPr>
          <w:rFonts w:hint="eastAsia" w:ascii="宋体" w:hAnsi="宋体"/>
          <w:szCs w:val="21"/>
        </w:rPr>
        <w:t>（1）《建设部关于贯彻执行工程勘察设计及施工质量验收规范若干问题的通知》（建标〔2002〕212号）；</w:t>
      </w:r>
    </w:p>
    <w:p>
      <w:pPr>
        <w:spacing w:line="360" w:lineRule="auto"/>
        <w:ind w:firstLine="420" w:firstLineChars="200"/>
        <w:jc w:val="left"/>
        <w:rPr>
          <w:rFonts w:ascii="宋体" w:hAnsi="宋体"/>
          <w:szCs w:val="21"/>
        </w:rPr>
      </w:pPr>
      <w:r>
        <w:rPr>
          <w:rFonts w:hint="eastAsia" w:ascii="宋体" w:hAnsi="宋体"/>
          <w:szCs w:val="21"/>
        </w:rPr>
        <w:t>（2）《重庆市建设工程十项施工质量通病防治要点》（渝建发〔2004〕172号）；</w:t>
      </w:r>
    </w:p>
    <w:p>
      <w:pPr>
        <w:spacing w:line="360" w:lineRule="auto"/>
        <w:ind w:firstLine="420" w:firstLineChars="200"/>
        <w:jc w:val="left"/>
        <w:rPr>
          <w:rFonts w:ascii="宋体" w:hAnsi="宋体"/>
          <w:szCs w:val="21"/>
        </w:rPr>
      </w:pPr>
      <w:r>
        <w:rPr>
          <w:rFonts w:hint="eastAsia" w:ascii="宋体" w:hAnsi="宋体"/>
          <w:szCs w:val="21"/>
        </w:rPr>
        <w:t>（3）《关于在房屋建筑和市政基础设施工程推行预拌商品砂浆的实施意见》（渝建发〔2008〕30号）；</w:t>
      </w:r>
    </w:p>
    <w:p>
      <w:pPr>
        <w:spacing w:line="360" w:lineRule="auto"/>
        <w:ind w:firstLine="420" w:firstLineChars="200"/>
        <w:jc w:val="left"/>
        <w:rPr>
          <w:rFonts w:ascii="宋体" w:hAnsi="宋体"/>
          <w:szCs w:val="21"/>
        </w:rPr>
      </w:pPr>
      <w:r>
        <w:rPr>
          <w:rFonts w:hint="eastAsia" w:ascii="宋体" w:hAnsi="宋体"/>
          <w:szCs w:val="21"/>
        </w:rPr>
        <w:t>（4）《关于发布&lt;建筑工程施工质量验收规范用表（建筑节能分部工程）&gt;和&lt;建设工程技术用表（建筑节能工程）&gt;的通知》（渝建发〔2008〕76号）；</w:t>
      </w:r>
    </w:p>
    <w:p>
      <w:pPr>
        <w:spacing w:line="360" w:lineRule="auto"/>
        <w:ind w:firstLine="420" w:firstLineChars="200"/>
        <w:jc w:val="left"/>
        <w:rPr>
          <w:rFonts w:ascii="宋体" w:hAnsi="宋体"/>
          <w:szCs w:val="21"/>
        </w:rPr>
      </w:pPr>
      <w:r>
        <w:rPr>
          <w:rFonts w:hint="eastAsia" w:ascii="宋体" w:hAnsi="宋体"/>
          <w:szCs w:val="21"/>
        </w:rPr>
        <w:t>（5）《关于印发&lt;重庆市房屋建筑和市政基础设施工程预拌商品砂浆应用推进工作方案&gt;的通知》（渝建〔2018〕375号）；</w:t>
      </w:r>
    </w:p>
    <w:p>
      <w:pPr>
        <w:pStyle w:val="2"/>
        <w:spacing w:after="0" w:line="360" w:lineRule="auto"/>
        <w:ind w:firstLine="420" w:firstLineChars="200"/>
        <w:jc w:val="left"/>
        <w:rPr>
          <w:rFonts w:ascii="宋体" w:hAnsi="宋体"/>
          <w:szCs w:val="21"/>
        </w:rPr>
      </w:pPr>
      <w:r>
        <w:rPr>
          <w:rFonts w:hint="eastAsia" w:ascii="宋体" w:hAnsi="宋体"/>
          <w:szCs w:val="21"/>
        </w:rPr>
        <w:t>（6）《2018年房屋建筑和市政基础设施工程质量要点》（渝建〔2018〕94号）；</w:t>
      </w:r>
    </w:p>
    <w:p>
      <w:pPr>
        <w:pStyle w:val="2"/>
        <w:spacing w:after="0" w:line="360" w:lineRule="auto"/>
        <w:ind w:firstLine="420" w:firstLineChars="200"/>
        <w:jc w:val="left"/>
        <w:rPr>
          <w:rFonts w:ascii="宋体" w:hAnsi="宋体"/>
          <w:szCs w:val="21"/>
        </w:rPr>
      </w:pPr>
      <w:r>
        <w:rPr>
          <w:rFonts w:hint="eastAsia" w:ascii="宋体" w:hAnsi="宋体"/>
          <w:szCs w:val="21"/>
        </w:rPr>
        <w:t>（7）《住房城乡建设部关于印发工程质量提升行动方案的通知》（建质〔2017〕57）；</w:t>
      </w:r>
    </w:p>
    <w:p>
      <w:pPr>
        <w:pStyle w:val="2"/>
        <w:spacing w:after="0" w:line="360" w:lineRule="auto"/>
        <w:ind w:firstLine="420" w:firstLineChars="200"/>
        <w:jc w:val="left"/>
        <w:rPr>
          <w:rFonts w:ascii="宋体" w:hAnsi="宋体"/>
          <w:szCs w:val="21"/>
        </w:rPr>
      </w:pPr>
      <w:r>
        <w:rPr>
          <w:rFonts w:hint="eastAsia" w:ascii="宋体" w:hAnsi="宋体"/>
          <w:szCs w:val="21"/>
        </w:rPr>
        <w:t>（8）《房屋建筑和市政基础设施工程竣工验收规定》（建质〔2013〕171）；</w:t>
      </w:r>
    </w:p>
    <w:p>
      <w:pPr>
        <w:pStyle w:val="2"/>
        <w:spacing w:after="0" w:line="360" w:lineRule="auto"/>
        <w:ind w:firstLine="420" w:firstLineChars="200"/>
        <w:jc w:val="left"/>
        <w:rPr>
          <w:rFonts w:ascii="宋体" w:hAnsi="宋体"/>
          <w:szCs w:val="21"/>
        </w:rPr>
      </w:pPr>
      <w:r>
        <w:rPr>
          <w:rFonts w:hint="eastAsia" w:ascii="宋体" w:hAnsi="宋体"/>
          <w:szCs w:val="21"/>
        </w:rPr>
        <w:t>（9）国家和本市现行有关建设工程质量验收标准、规范和要求；</w:t>
      </w:r>
    </w:p>
    <w:p>
      <w:pPr>
        <w:pStyle w:val="2"/>
        <w:spacing w:after="0" w:line="360" w:lineRule="auto"/>
        <w:ind w:firstLine="420" w:firstLineChars="200"/>
        <w:jc w:val="left"/>
        <w:rPr>
          <w:rFonts w:ascii="宋体" w:hAnsi="宋体"/>
          <w:szCs w:val="21"/>
        </w:rPr>
      </w:pPr>
      <w:r>
        <w:rPr>
          <w:rFonts w:hint="eastAsia" w:ascii="宋体" w:hAnsi="宋体"/>
          <w:szCs w:val="21"/>
        </w:rPr>
        <w:t>（10）</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承包人、监理人和发包人在工程建设中，应严格执行国家及重庆市现行标准，如上述标准及规范要求有出入则以较严格者为准。</w:t>
      </w:r>
    </w:p>
    <w:p>
      <w:pPr>
        <w:pStyle w:val="8"/>
        <w:spacing w:before="0" w:after="0" w:line="360" w:lineRule="auto"/>
        <w:ind w:firstLine="422" w:firstLineChars="200"/>
        <w:rPr>
          <w:sz w:val="21"/>
          <w:szCs w:val="21"/>
        </w:rPr>
      </w:pPr>
      <w:bookmarkStart w:id="661" w:name="_Toc351203536"/>
      <w:bookmarkStart w:id="662" w:name="_Toc532377347"/>
      <w:bookmarkStart w:id="663" w:name="_Hlk528927873"/>
      <w:r>
        <w:rPr>
          <w:rFonts w:hint="eastAsia"/>
          <w:sz w:val="21"/>
          <w:szCs w:val="21"/>
        </w:rPr>
        <w:t>5.3隐蔽工程检查</w:t>
      </w:r>
    </w:p>
    <w:p>
      <w:pPr>
        <w:spacing w:line="360" w:lineRule="auto"/>
        <w:ind w:firstLine="420" w:firstLineChars="200"/>
        <w:jc w:val="left"/>
        <w:rPr>
          <w:rFonts w:ascii="宋体" w:hAnsi="宋体"/>
          <w:szCs w:val="21"/>
        </w:rPr>
      </w:pPr>
      <w:r>
        <w:rPr>
          <w:rFonts w:hint="eastAsia" w:ascii="宋体" w:hAnsi="宋体"/>
          <w:szCs w:val="21"/>
        </w:rPr>
        <w:t>5.3.2检查程序</w:t>
      </w:r>
    </w:p>
    <w:p>
      <w:pPr>
        <w:spacing w:line="360" w:lineRule="auto"/>
        <w:ind w:firstLine="420" w:firstLineChars="200"/>
        <w:jc w:val="left"/>
        <w:rPr>
          <w:rFonts w:ascii="宋体" w:hAnsi="宋体"/>
          <w:szCs w:val="21"/>
        </w:rPr>
      </w:pPr>
      <w:r>
        <w:rPr>
          <w:rFonts w:hint="eastAsia" w:ascii="宋体" w:hAnsi="宋体"/>
          <w:szCs w:val="21"/>
        </w:rPr>
        <w:t>工程隐蔽部位经承包人自检确认具备覆盖条件的，承包人应在共同检查前</w:t>
      </w:r>
      <w:r>
        <w:rPr>
          <w:rFonts w:hint="eastAsia" w:ascii="宋体" w:hAnsi="宋体"/>
          <w:szCs w:val="21"/>
          <w:u w:val="single"/>
        </w:rPr>
        <w:t xml:space="preserve">    </w:t>
      </w:r>
      <w:r>
        <w:rPr>
          <w:rFonts w:hint="eastAsia" w:ascii="宋体" w:hAnsi="宋体"/>
          <w:szCs w:val="21"/>
        </w:rPr>
        <w:t>小时书面通知监理人检查，通知中应载明隐蔽检查的内容、时间和地点，并应附有自检记录和必要的检查资料。</w:t>
      </w:r>
    </w:p>
    <w:p>
      <w:pPr>
        <w:pStyle w:val="8"/>
        <w:spacing w:before="0" w:after="0" w:line="360" w:lineRule="auto"/>
        <w:ind w:firstLine="422" w:firstLineChars="200"/>
        <w:rPr>
          <w:sz w:val="21"/>
          <w:szCs w:val="21"/>
        </w:rPr>
      </w:pPr>
      <w:r>
        <w:rPr>
          <w:rFonts w:hint="eastAsia"/>
          <w:sz w:val="21"/>
          <w:szCs w:val="21"/>
        </w:rPr>
        <w:t>5</w:t>
      </w:r>
      <w:bookmarkStart w:id="664" w:name="_Toc337558762"/>
      <w:r>
        <w:rPr>
          <w:rFonts w:hint="eastAsia"/>
          <w:sz w:val="21"/>
          <w:szCs w:val="21"/>
        </w:rPr>
        <w:t>.4 不合格工程的处理</w:t>
      </w:r>
      <w:bookmarkEnd w:id="661"/>
      <w:bookmarkEnd w:id="662"/>
    </w:p>
    <w:bookmarkEnd w:id="664"/>
    <w:p>
      <w:pPr>
        <w:spacing w:line="360" w:lineRule="auto"/>
        <w:ind w:firstLine="420" w:firstLineChars="200"/>
        <w:jc w:val="left"/>
        <w:rPr>
          <w:rFonts w:ascii="宋体" w:hAnsi="宋体"/>
          <w:szCs w:val="21"/>
        </w:rPr>
      </w:pPr>
      <w:r>
        <w:rPr>
          <w:rFonts w:hint="eastAsia" w:ascii="宋体" w:hAnsi="宋体"/>
          <w:szCs w:val="21"/>
        </w:rPr>
        <w:t>本款补充5.4.3项：</w:t>
      </w:r>
    </w:p>
    <w:p>
      <w:pPr>
        <w:spacing w:line="360" w:lineRule="auto"/>
        <w:ind w:firstLine="420" w:firstLineChars="200"/>
        <w:jc w:val="left"/>
        <w:rPr>
          <w:rFonts w:ascii="宋体" w:hAnsi="宋体"/>
          <w:szCs w:val="21"/>
        </w:rPr>
      </w:pPr>
      <w:r>
        <w:rPr>
          <w:rFonts w:hint="eastAsia" w:ascii="宋体" w:hAnsi="宋体"/>
          <w:szCs w:val="21"/>
        </w:rPr>
        <w:t>5.4.3 承包人在收到监理人发出的《不合格分项报告》或监理通知单后，必须在监理人规定时间内按要求完成整改，未能在限定时间内完成整改的，须承担相应违约责任。</w:t>
      </w:r>
    </w:p>
    <w:p>
      <w:pPr>
        <w:spacing w:line="360" w:lineRule="auto"/>
        <w:ind w:firstLine="420" w:firstLineChars="200"/>
        <w:jc w:val="left"/>
        <w:rPr>
          <w:rFonts w:ascii="宋体" w:hAnsi="宋体"/>
          <w:szCs w:val="21"/>
        </w:rPr>
      </w:pPr>
      <w:r>
        <w:rPr>
          <w:rFonts w:hint="eastAsia" w:ascii="宋体" w:hAnsi="宋体"/>
          <w:szCs w:val="21"/>
        </w:rPr>
        <w:t>本条补充5.6款：</w:t>
      </w:r>
    </w:p>
    <w:bookmarkEnd w:id="663"/>
    <w:p>
      <w:pPr>
        <w:pStyle w:val="8"/>
        <w:spacing w:before="0" w:after="0" w:line="360" w:lineRule="auto"/>
        <w:ind w:firstLine="422" w:firstLineChars="200"/>
        <w:rPr>
          <w:sz w:val="21"/>
          <w:szCs w:val="21"/>
        </w:rPr>
      </w:pPr>
      <w:bookmarkStart w:id="665" w:name="_Toc532377348"/>
      <w:r>
        <w:rPr>
          <w:rFonts w:hint="eastAsia"/>
          <w:sz w:val="21"/>
          <w:szCs w:val="21"/>
        </w:rPr>
        <w:t>5.6 质量事故的处理</w:t>
      </w:r>
      <w:bookmarkEnd w:id="665"/>
    </w:p>
    <w:p>
      <w:pPr>
        <w:spacing w:line="360" w:lineRule="auto"/>
        <w:ind w:firstLine="420" w:firstLineChars="200"/>
        <w:jc w:val="left"/>
        <w:rPr>
          <w:rFonts w:ascii="宋体" w:hAnsi="宋体"/>
          <w:szCs w:val="21"/>
        </w:rPr>
      </w:pPr>
      <w:r>
        <w:rPr>
          <w:rFonts w:hint="eastAsia" w:ascii="宋体" w:hAnsi="宋体"/>
          <w:szCs w:val="21"/>
        </w:rPr>
        <w:t>5.6.1 合同履行过程中，发生工程质量事故的调查处理按照国家及重庆市现行规定处理。</w:t>
      </w:r>
    </w:p>
    <w:p>
      <w:pPr>
        <w:spacing w:line="360" w:lineRule="auto"/>
        <w:ind w:firstLine="420" w:firstLineChars="200"/>
        <w:jc w:val="left"/>
        <w:rPr>
          <w:rFonts w:ascii="宋体" w:hAnsi="宋体"/>
          <w:szCs w:val="21"/>
        </w:rPr>
      </w:pPr>
      <w:r>
        <w:rPr>
          <w:rFonts w:hint="eastAsia" w:ascii="宋体" w:hAnsi="宋体"/>
          <w:szCs w:val="21"/>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641"/>
    <w:bookmarkEnd w:id="642"/>
    <w:bookmarkEnd w:id="643"/>
    <w:bookmarkEnd w:id="644"/>
    <w:bookmarkEnd w:id="645"/>
    <w:bookmarkEnd w:id="646"/>
    <w:bookmarkEnd w:id="647"/>
    <w:bookmarkEnd w:id="648"/>
    <w:bookmarkEnd w:id="649"/>
    <w:bookmarkEnd w:id="650"/>
    <w:bookmarkEnd w:id="653"/>
    <w:bookmarkEnd w:id="654"/>
    <w:bookmarkEnd w:id="655"/>
    <w:bookmarkEnd w:id="656"/>
    <w:bookmarkEnd w:id="657"/>
    <w:bookmarkEnd w:id="658"/>
    <w:bookmarkEnd w:id="659"/>
    <w:p>
      <w:pPr>
        <w:pStyle w:val="7"/>
        <w:spacing w:before="120" w:beforeLines="50" w:after="120" w:afterLines="50" w:line="360" w:lineRule="auto"/>
        <w:rPr>
          <w:sz w:val="21"/>
          <w:szCs w:val="21"/>
        </w:rPr>
      </w:pPr>
      <w:bookmarkStart w:id="666" w:name="_Toc532375613"/>
      <w:bookmarkStart w:id="667" w:name="_Toc532377349"/>
      <w:bookmarkStart w:id="668" w:name="_Toc351203638"/>
      <w:bookmarkStart w:id="669" w:name="_Toc296503173"/>
      <w:bookmarkStart w:id="670" w:name="_Toc351203642"/>
      <w:bookmarkStart w:id="671" w:name="_Toc297048359"/>
      <w:bookmarkStart w:id="672" w:name="_Toc296944512"/>
      <w:bookmarkStart w:id="673" w:name="_Toc292559883"/>
      <w:bookmarkStart w:id="674" w:name="_Toc267251428"/>
      <w:bookmarkStart w:id="675" w:name="_Toc296346674"/>
      <w:bookmarkStart w:id="676" w:name="_Toc296891001"/>
      <w:bookmarkStart w:id="677" w:name="_Toc292559378"/>
      <w:bookmarkStart w:id="678" w:name="_Toc296347172"/>
      <w:bookmarkStart w:id="679" w:name="_Toc296891213"/>
      <w:bookmarkStart w:id="680" w:name="_Toc267251427"/>
      <w:bookmarkStart w:id="681" w:name="_Toc297120473"/>
      <w:r>
        <w:rPr>
          <w:rFonts w:hint="eastAsia"/>
          <w:sz w:val="21"/>
          <w:szCs w:val="21"/>
        </w:rPr>
        <w:t>6. 安全文明施工与环境保护</w:t>
      </w:r>
      <w:bookmarkEnd w:id="666"/>
      <w:bookmarkEnd w:id="667"/>
      <w:bookmarkEnd w:id="668"/>
    </w:p>
    <w:p>
      <w:pPr>
        <w:pStyle w:val="8"/>
        <w:spacing w:before="0" w:after="0" w:line="360" w:lineRule="auto"/>
        <w:ind w:firstLine="422" w:firstLineChars="200"/>
        <w:rPr>
          <w:sz w:val="21"/>
          <w:szCs w:val="21"/>
        </w:rPr>
      </w:pPr>
      <w:bookmarkStart w:id="682" w:name="_Toc532375614"/>
      <w:bookmarkStart w:id="683" w:name="_Toc532377350"/>
      <w:r>
        <w:rPr>
          <w:rFonts w:hint="eastAsia"/>
          <w:sz w:val="21"/>
          <w:szCs w:val="21"/>
        </w:rPr>
        <w:t>6.1 安全文明施工</w:t>
      </w:r>
      <w:bookmarkEnd w:id="682"/>
      <w:bookmarkEnd w:id="683"/>
    </w:p>
    <w:p>
      <w:pPr>
        <w:spacing w:line="360" w:lineRule="auto"/>
        <w:ind w:firstLine="420" w:firstLineChars="200"/>
        <w:jc w:val="left"/>
        <w:rPr>
          <w:rFonts w:ascii="宋体" w:hAnsi="宋体"/>
          <w:szCs w:val="21"/>
        </w:rPr>
      </w:pPr>
      <w:r>
        <w:rPr>
          <w:rFonts w:hint="eastAsia" w:ascii="宋体" w:hAnsi="宋体"/>
          <w:szCs w:val="21"/>
        </w:rPr>
        <w:t>承包人必须认真贯彻执行国家安全生产法律、法规、规章和标准，按照重庆市现行的质量、安全文明施工有关规定和发包人安全管理的有关规定，建立完善的质量、安全、文明施工管理制度。</w:t>
      </w:r>
    </w:p>
    <w:p>
      <w:pPr>
        <w:spacing w:line="360" w:lineRule="auto"/>
        <w:ind w:firstLine="420" w:firstLineChars="200"/>
        <w:jc w:val="left"/>
        <w:rPr>
          <w:rFonts w:ascii="宋体" w:hAnsi="宋体"/>
          <w:szCs w:val="21"/>
        </w:rPr>
      </w:pPr>
      <w:r>
        <w:rPr>
          <w:rFonts w:hint="eastAsia" w:ascii="宋体" w:hAnsi="宋体"/>
          <w:szCs w:val="21"/>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pPr>
        <w:spacing w:line="360" w:lineRule="auto"/>
        <w:ind w:firstLine="420" w:firstLineChars="200"/>
        <w:jc w:val="left"/>
        <w:rPr>
          <w:rFonts w:ascii="宋体" w:hAnsi="宋体"/>
          <w:szCs w:val="21"/>
          <w:u w:val="single"/>
        </w:rPr>
      </w:pPr>
      <w:r>
        <w:rPr>
          <w:rFonts w:hint="eastAsia" w:ascii="宋体" w:hAnsi="宋体"/>
          <w:szCs w:val="21"/>
        </w:rPr>
        <w:t>6.1.1 项目安全生产的达标目标及相应事项的约定：</w:t>
      </w:r>
      <w:r>
        <w:rPr>
          <w:rFonts w:hint="eastAsia" w:ascii="宋体" w:hAnsi="宋体"/>
          <w:szCs w:val="21"/>
          <w:u w:val="single"/>
        </w:rPr>
        <w:t>达到《建筑施工安全检查标准》（JGJ59-2011）的要求</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（1）按现行安全文明施工费计取及使用管理的政策文件规定及发包人制订的安全管理制度执行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（2）承包人的原因造成事故，由此产生的法律责任和事故责任及费用由承包人全部承担</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（3）承包人向发包人做出安全承诺，并签订《安全生产目标责任书》和《安全承诺书》</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（4）承包人在施工过程中，必须严格执行安全生产法的相关规定，制定切实可靠的安全技术措施</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u w:val="single"/>
        </w:rPr>
        <w:t>（5）接受发包人安全监督和管理，在施工中违反安全管理规定和操作规程、违章作业的，承担违约责任</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6.1.4 关于治安保卫的特别约定：</w:t>
      </w:r>
      <w:r>
        <w:rPr>
          <w:rFonts w:hint="eastAsia" w:ascii="宋体" w:hAnsi="宋体"/>
          <w:szCs w:val="21"/>
          <w:u w:val="single"/>
        </w:rPr>
        <w:t>承包人负责组建施工现场治安管理机构或联防组织；承包人负责编制施工场地治安管理计划和突发治安事件紧急预案</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关于编制施工场地治安管理计划的约定：</w:t>
      </w:r>
      <w:r>
        <w:rPr>
          <w:rFonts w:hint="eastAsia" w:ascii="宋体" w:hAnsi="宋体"/>
          <w:szCs w:val="21"/>
          <w:u w:val="single"/>
        </w:rPr>
        <w:t>由承包人负责</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6.1.5 文明施工</w:t>
      </w:r>
    </w:p>
    <w:p>
      <w:pPr>
        <w:spacing w:line="360" w:lineRule="auto"/>
        <w:ind w:firstLine="420" w:firstLineChars="200"/>
        <w:jc w:val="left"/>
        <w:rPr>
          <w:rFonts w:ascii="宋体" w:hAnsi="宋体"/>
          <w:szCs w:val="21"/>
          <w:u w:val="single"/>
        </w:rPr>
      </w:pPr>
      <w:r>
        <w:rPr>
          <w:rFonts w:hint="eastAsia" w:ascii="宋体" w:hAnsi="宋体"/>
          <w:szCs w:val="21"/>
        </w:rPr>
        <w:t>合同当事人对文明施工的要求：</w:t>
      </w:r>
      <w:r>
        <w:rPr>
          <w:rFonts w:hint="eastAsia" w:ascii="宋体" w:hAnsi="宋体"/>
          <w:szCs w:val="21"/>
          <w:u w:val="single"/>
        </w:rPr>
        <w:t>承包人应按照《房屋建筑和市政基础设施工程施工扬尘控制工作方案》（渝建发〔2009〕13号）、《重庆市房屋建筑和市政基础设施工程现场文明施工标准》（渝建发〔2008〕169号）等相关规定履行好施工扬尘控制、文明施工等责任</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6.1.6 关于安全文明施工费支付比例和支付期限的约定：按照行业主管部门相关规定</w:t>
      </w:r>
      <w:r>
        <w:rPr>
          <w:rFonts w:hint="eastAsia" w:ascii="宋体" w:hAnsi="宋体"/>
          <w:szCs w:val="21"/>
          <w:u w:val="single"/>
        </w:rPr>
        <w:t xml:space="preserve"> 渝建发〔2014〕25号《重庆市建设工程安全文明施工费计取及使用管理规定》的通知</w:t>
      </w:r>
      <w:r>
        <w:rPr>
          <w:rFonts w:hint="eastAsia" w:ascii="宋体" w:hAnsi="宋体"/>
          <w:szCs w:val="21"/>
        </w:rPr>
        <w:t>执行。</w:t>
      </w:r>
    </w:p>
    <w:p>
      <w:pPr>
        <w:spacing w:line="360" w:lineRule="auto"/>
        <w:ind w:firstLine="420" w:firstLineChars="200"/>
        <w:jc w:val="left"/>
        <w:rPr>
          <w:rFonts w:ascii="宋体" w:hAnsi="宋体"/>
          <w:szCs w:val="21"/>
          <w:u w:val="single"/>
        </w:rPr>
      </w:pPr>
      <w:r>
        <w:rPr>
          <w:rFonts w:hint="eastAsia" w:ascii="宋体" w:hAnsi="宋体"/>
          <w:szCs w:val="21"/>
          <w:u w:val="single"/>
        </w:rPr>
        <w:t>安全文明施工费的要求与内容、提取支付方法以及违反约定造成损失的赔偿等条款，按照现行规范要求执行，做到专款专用</w:t>
      </w:r>
      <w:r>
        <w:rPr>
          <w:rFonts w:hint="eastAsia" w:ascii="宋体" w:hAnsi="宋体"/>
          <w:szCs w:val="21"/>
        </w:rPr>
        <w:t>。</w:t>
      </w:r>
    </w:p>
    <w:p>
      <w:pPr>
        <w:pStyle w:val="8"/>
        <w:spacing w:before="0" w:after="0" w:line="360" w:lineRule="auto"/>
        <w:ind w:firstLine="422" w:firstLineChars="200"/>
        <w:rPr>
          <w:sz w:val="21"/>
          <w:szCs w:val="21"/>
        </w:rPr>
      </w:pPr>
      <w:bookmarkStart w:id="684" w:name="_Toc532375615"/>
      <w:bookmarkStart w:id="685" w:name="_Toc532377351"/>
      <w:r>
        <w:rPr>
          <w:rFonts w:hint="eastAsia"/>
          <w:sz w:val="21"/>
          <w:szCs w:val="21"/>
        </w:rPr>
        <w:t>6.3 环境保护</w:t>
      </w:r>
      <w:bookmarkEnd w:id="684"/>
      <w:bookmarkEnd w:id="685"/>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本款补充6.3.1～6.3.8项：</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6.3.3 承包人应加强生态环境保护工作。施工期间，采取边坡防护，挡渣坝、排水沟、沉淀池、表土剥离和绿化恢复等水土保持措施减少水土流失量，绿化恢复宜采用适于当地生长的植物。</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6.3.4 承包人应认真落实水污染防治措施。施工期间，加强机械设备维护，减少跑冒滴漏等现象；做好含油废水处理措施；施工场地生活污水经生化处理后达到《污水综合排放标准》（GB8978-1996）一级标准后排放。</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6.3.5 承包人应重视大气污染物污染防治措施。施工期间，严格执行市政府“蓝天行动”方案等有关规定，通过洒水防尘，严格控制施工场地扬尘和运输扬尘污染。</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6.3.6 承包人应落实固体废物污染防治措施。施工期间，项目产生的弃方不可合理</w:t>
      </w:r>
      <w:r>
        <w:rPr>
          <w:rFonts w:ascii="宋体" w:hAnsi="宋体"/>
          <w:szCs w:val="21"/>
        </w:rPr>
        <w:t>利用的</w:t>
      </w:r>
      <w:r>
        <w:rPr>
          <w:rFonts w:hint="eastAsia" w:ascii="宋体" w:hAnsi="宋体"/>
          <w:szCs w:val="21"/>
        </w:rPr>
        <w:t>，应运往指定的弃渣场内堆存；建筑垃圾运至指定的建筑垃圾消纳场处置；生活垃圾由当地环卫部门统一处置。</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6.3.7 承包人应认真落实噪声污染防治措施。施工期间，优选低噪声设备，合理安排施工时间，严格控制夜间施工，昼、夜施工场界需满足《建筑施工场界环境噪声排放标准》（GB12523-2011）。</w:t>
      </w:r>
    </w:p>
    <w:p>
      <w:pPr>
        <w:spacing w:line="360" w:lineRule="auto"/>
        <w:ind w:firstLine="420" w:firstLineChars="200"/>
        <w:jc w:val="left"/>
        <w:rPr>
          <w:rFonts w:ascii="宋体" w:hAnsi="宋体"/>
          <w:szCs w:val="21"/>
          <w:u w:val="single"/>
        </w:rPr>
      </w:pPr>
      <w:r>
        <w:rPr>
          <w:rFonts w:hint="eastAsia" w:ascii="宋体" w:hAnsi="宋体"/>
          <w:szCs w:val="21"/>
        </w:rPr>
        <w:t>6.3.8 承包人自行负责办理有关施工场地交通、环卫和施工噪音管理等手续，并应按要求结合自身实际和重庆市相关规定，考虑不低于以上标准的此类工作。</w:t>
      </w:r>
    </w:p>
    <w:p>
      <w:pPr>
        <w:pStyle w:val="7"/>
        <w:spacing w:before="120" w:beforeLines="50" w:after="120" w:afterLines="50" w:line="360" w:lineRule="auto"/>
        <w:rPr>
          <w:sz w:val="21"/>
          <w:szCs w:val="21"/>
        </w:rPr>
      </w:pPr>
      <w:bookmarkStart w:id="686" w:name="_Toc532375616"/>
      <w:bookmarkStart w:id="687" w:name="_Toc351203639"/>
      <w:bookmarkStart w:id="688" w:name="_Toc532377352"/>
      <w:r>
        <w:rPr>
          <w:rFonts w:hint="eastAsia"/>
          <w:sz w:val="21"/>
          <w:szCs w:val="21"/>
        </w:rPr>
        <w:t>7. 工期和进度</w:t>
      </w:r>
      <w:bookmarkEnd w:id="686"/>
      <w:bookmarkEnd w:id="687"/>
      <w:bookmarkEnd w:id="688"/>
    </w:p>
    <w:p>
      <w:pPr>
        <w:pStyle w:val="8"/>
        <w:spacing w:before="0" w:after="0" w:line="360" w:lineRule="auto"/>
        <w:ind w:firstLine="422" w:firstLineChars="200"/>
        <w:rPr>
          <w:sz w:val="21"/>
          <w:szCs w:val="21"/>
        </w:rPr>
      </w:pPr>
      <w:bookmarkStart w:id="689" w:name="_Toc532375617"/>
      <w:bookmarkStart w:id="690" w:name="_Toc532377353"/>
      <w:r>
        <w:rPr>
          <w:rFonts w:hint="eastAsia"/>
          <w:sz w:val="21"/>
          <w:szCs w:val="21"/>
        </w:rPr>
        <w:t>7.1 施工组织设计</w:t>
      </w:r>
      <w:bookmarkEnd w:id="689"/>
      <w:bookmarkEnd w:id="690"/>
    </w:p>
    <w:p>
      <w:pPr>
        <w:autoSpaceDE w:val="0"/>
        <w:autoSpaceDN w:val="0"/>
        <w:spacing w:line="360" w:lineRule="auto"/>
        <w:ind w:firstLine="420" w:firstLineChars="200"/>
        <w:jc w:val="left"/>
        <w:rPr>
          <w:rFonts w:ascii="宋体" w:hAnsi="宋体"/>
          <w:szCs w:val="21"/>
          <w:u w:val="single"/>
        </w:rPr>
      </w:pPr>
      <w:r>
        <w:rPr>
          <w:rFonts w:hint="eastAsia" w:ascii="宋体" w:hAnsi="宋体"/>
          <w:szCs w:val="21"/>
        </w:rPr>
        <w:t>7.1.1 合同当事人约定的施工组织设计应包括的其他内容：</w:t>
      </w:r>
      <w:r>
        <w:rPr>
          <w:rFonts w:hint="eastAsia" w:ascii="宋体" w:hAnsi="宋体"/>
          <w:szCs w:val="21"/>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szCs w:val="21"/>
        </w:rPr>
        <w:t>。</w:t>
      </w:r>
    </w:p>
    <w:p>
      <w:pPr>
        <w:autoSpaceDE w:val="0"/>
        <w:autoSpaceDN w:val="0"/>
        <w:spacing w:line="360" w:lineRule="auto"/>
        <w:ind w:firstLine="420" w:firstLineChars="200"/>
        <w:jc w:val="left"/>
        <w:rPr>
          <w:rFonts w:ascii="宋体" w:hAnsi="宋体"/>
          <w:szCs w:val="21"/>
        </w:rPr>
      </w:pPr>
      <w:r>
        <w:rPr>
          <w:rFonts w:hint="eastAsia" w:ascii="宋体" w:hAnsi="宋体"/>
          <w:szCs w:val="21"/>
        </w:rPr>
        <w:t>7.1.2 施工组织设计的提交和修改</w:t>
      </w:r>
    </w:p>
    <w:p>
      <w:pPr>
        <w:autoSpaceDE w:val="0"/>
        <w:autoSpaceDN w:val="0"/>
        <w:spacing w:line="360" w:lineRule="auto"/>
        <w:ind w:firstLine="420" w:firstLineChars="200"/>
        <w:jc w:val="left"/>
        <w:rPr>
          <w:rFonts w:ascii="宋体" w:hAnsi="宋体"/>
          <w:szCs w:val="21"/>
        </w:rPr>
      </w:pPr>
      <w:r>
        <w:rPr>
          <w:rFonts w:hint="eastAsia" w:ascii="宋体" w:hAnsi="宋体"/>
          <w:szCs w:val="21"/>
        </w:rPr>
        <w:t>承包人提交详细施工组织设计的期限的约定：</w:t>
      </w:r>
      <w:r>
        <w:rPr>
          <w:rFonts w:hint="eastAsia" w:ascii="宋体" w:hAnsi="宋体"/>
          <w:szCs w:val="21"/>
          <w:u w:val="single"/>
        </w:rPr>
        <w:t>合同签订后10天内，但最迟不得晚于开工通知载明的开工日期前7天</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发包人和监理人在收到详细的施工组织设计后确认或提出修改意见的期限：</w:t>
      </w:r>
      <w:r>
        <w:rPr>
          <w:rFonts w:hint="eastAsia" w:ascii="宋体" w:hAnsi="宋体"/>
          <w:szCs w:val="21"/>
          <w:u w:val="single"/>
        </w:rPr>
        <w:t>收到施工组织设计后5天内</w:t>
      </w:r>
      <w:r>
        <w:rPr>
          <w:rFonts w:hint="eastAsia" w:ascii="宋体" w:hAnsi="宋体"/>
          <w:szCs w:val="21"/>
        </w:rPr>
        <w:t>。</w:t>
      </w:r>
    </w:p>
    <w:p>
      <w:pPr>
        <w:pStyle w:val="8"/>
        <w:spacing w:before="0" w:after="0" w:line="360" w:lineRule="auto"/>
        <w:ind w:firstLine="422" w:firstLineChars="200"/>
        <w:rPr>
          <w:sz w:val="21"/>
          <w:szCs w:val="21"/>
        </w:rPr>
      </w:pPr>
      <w:bookmarkStart w:id="691" w:name="_Toc532375618"/>
      <w:bookmarkStart w:id="692" w:name="_Toc532377354"/>
      <w:r>
        <w:rPr>
          <w:rFonts w:hint="eastAsia"/>
          <w:sz w:val="21"/>
          <w:szCs w:val="21"/>
        </w:rPr>
        <w:t>7.2 施工进度计划</w:t>
      </w:r>
      <w:bookmarkEnd w:id="691"/>
      <w:bookmarkEnd w:id="692"/>
    </w:p>
    <w:p>
      <w:pPr>
        <w:spacing w:line="360" w:lineRule="auto"/>
        <w:ind w:firstLine="420" w:firstLineChars="200"/>
        <w:jc w:val="left"/>
        <w:rPr>
          <w:rFonts w:ascii="宋体" w:hAnsi="宋体"/>
          <w:szCs w:val="21"/>
        </w:rPr>
      </w:pPr>
      <w:r>
        <w:rPr>
          <w:rFonts w:hint="eastAsia" w:ascii="宋体" w:hAnsi="宋体"/>
          <w:szCs w:val="21"/>
        </w:rPr>
        <w:t>7.2.2 施工进度计划的修订</w:t>
      </w:r>
    </w:p>
    <w:p>
      <w:pPr>
        <w:spacing w:line="360" w:lineRule="auto"/>
        <w:ind w:firstLine="420" w:firstLineChars="200"/>
        <w:jc w:val="left"/>
        <w:rPr>
          <w:rFonts w:ascii="宋体" w:hAnsi="宋体"/>
          <w:szCs w:val="21"/>
        </w:rPr>
      </w:pPr>
      <w:r>
        <w:rPr>
          <w:rFonts w:hint="eastAsia" w:ascii="宋体" w:hAnsi="宋体"/>
          <w:szCs w:val="21"/>
        </w:rPr>
        <w:t>发包人和监理人在收到修订的施工进度计划后确认或提出修改意见的期限：</w:t>
      </w:r>
      <w:r>
        <w:rPr>
          <w:rFonts w:hint="eastAsia" w:ascii="宋体" w:hAnsi="宋体"/>
          <w:szCs w:val="21"/>
          <w:u w:val="single"/>
        </w:rPr>
        <w:t>收到修订的施工进度计划后5天内</w:t>
      </w:r>
      <w:r>
        <w:rPr>
          <w:rFonts w:hint="eastAsia" w:ascii="宋体" w:hAnsi="宋体"/>
          <w:szCs w:val="21"/>
        </w:rPr>
        <w:t>。</w:t>
      </w:r>
    </w:p>
    <w:p>
      <w:pPr>
        <w:pStyle w:val="8"/>
        <w:spacing w:before="0" w:after="0" w:line="360" w:lineRule="auto"/>
        <w:ind w:firstLine="422" w:firstLineChars="200"/>
        <w:rPr>
          <w:sz w:val="21"/>
          <w:szCs w:val="21"/>
        </w:rPr>
      </w:pPr>
      <w:bookmarkStart w:id="693" w:name="_Toc532377355"/>
      <w:bookmarkStart w:id="694" w:name="_Toc532375619"/>
      <w:bookmarkStart w:id="695" w:name="_Toc297123514"/>
      <w:bookmarkStart w:id="696" w:name="_Toc312677479"/>
      <w:bookmarkStart w:id="697" w:name="_Toc297216173"/>
      <w:bookmarkStart w:id="698" w:name="_Toc304295541"/>
      <w:bookmarkStart w:id="699" w:name="_Toc312678005"/>
      <w:bookmarkStart w:id="700" w:name="_Toc300934966"/>
      <w:bookmarkStart w:id="701" w:name="_Toc303539123"/>
      <w:r>
        <w:rPr>
          <w:rFonts w:hint="eastAsia"/>
          <w:sz w:val="21"/>
          <w:szCs w:val="21"/>
        </w:rPr>
        <w:t>7.3 开工</w:t>
      </w:r>
      <w:bookmarkEnd w:id="693"/>
      <w:bookmarkEnd w:id="694"/>
    </w:p>
    <w:p>
      <w:pPr>
        <w:spacing w:line="360" w:lineRule="auto"/>
        <w:ind w:firstLine="420" w:firstLineChars="200"/>
        <w:jc w:val="left"/>
        <w:rPr>
          <w:rFonts w:ascii="宋体" w:hAnsi="宋体"/>
          <w:szCs w:val="21"/>
        </w:rPr>
      </w:pPr>
      <w:r>
        <w:rPr>
          <w:rFonts w:hint="eastAsia" w:ascii="宋体" w:hAnsi="宋体"/>
          <w:szCs w:val="21"/>
        </w:rPr>
        <w:t>7.3.1 开工准备</w:t>
      </w:r>
    </w:p>
    <w:p>
      <w:pPr>
        <w:spacing w:line="360" w:lineRule="auto"/>
        <w:ind w:firstLine="420" w:firstLineChars="200"/>
        <w:jc w:val="left"/>
        <w:rPr>
          <w:rFonts w:ascii="宋体" w:hAnsi="宋体"/>
          <w:szCs w:val="21"/>
        </w:rPr>
      </w:pPr>
      <w:r>
        <w:rPr>
          <w:rFonts w:hint="eastAsia" w:ascii="宋体" w:hAnsi="宋体"/>
          <w:szCs w:val="21"/>
        </w:rPr>
        <w:t>关于承包人提交工程开工报审表的期限：</w:t>
      </w:r>
      <w:r>
        <w:rPr>
          <w:rFonts w:hint="eastAsia" w:ascii="宋体" w:hAnsi="宋体"/>
          <w:szCs w:val="21"/>
          <w:u w:val="single"/>
        </w:rPr>
        <w:t>不晚于开工前1天</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关于发包人应完成的其他开工准备工作及期限：</w:t>
      </w:r>
      <w:r>
        <w:rPr>
          <w:rFonts w:hint="eastAsia" w:ascii="宋体" w:hAnsi="宋体"/>
          <w:szCs w:val="21"/>
          <w:u w:val="single"/>
        </w:rPr>
        <w:t>不晚于开工前1天</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关于承包人应完成的其他开工准备工作及期限：</w:t>
      </w:r>
      <w:r>
        <w:rPr>
          <w:rFonts w:hint="eastAsia" w:ascii="宋体" w:hAnsi="宋体"/>
          <w:szCs w:val="21"/>
          <w:u w:val="single"/>
        </w:rPr>
        <w:t>不晚于开工前1天</w:t>
      </w:r>
      <w:r>
        <w:rPr>
          <w:rFonts w:hint="eastAsia" w:ascii="宋体" w:hAnsi="宋体"/>
          <w:szCs w:val="21"/>
        </w:rPr>
        <w:t>。</w:t>
      </w:r>
    </w:p>
    <w:bookmarkEnd w:id="695"/>
    <w:bookmarkEnd w:id="696"/>
    <w:bookmarkEnd w:id="697"/>
    <w:bookmarkEnd w:id="698"/>
    <w:bookmarkEnd w:id="699"/>
    <w:bookmarkEnd w:id="700"/>
    <w:bookmarkEnd w:id="701"/>
    <w:p>
      <w:pPr>
        <w:pStyle w:val="8"/>
        <w:spacing w:before="0" w:after="0" w:line="360" w:lineRule="auto"/>
        <w:ind w:firstLine="422" w:firstLineChars="200"/>
        <w:rPr>
          <w:sz w:val="21"/>
          <w:szCs w:val="21"/>
        </w:rPr>
      </w:pPr>
      <w:bookmarkStart w:id="702" w:name="_Toc532377356"/>
      <w:bookmarkStart w:id="703" w:name="_Toc532375620"/>
      <w:r>
        <w:rPr>
          <w:rFonts w:hint="eastAsia"/>
          <w:sz w:val="21"/>
          <w:szCs w:val="21"/>
        </w:rPr>
        <w:t>7.4 测量放线</w:t>
      </w:r>
      <w:bookmarkEnd w:id="702"/>
      <w:bookmarkEnd w:id="703"/>
    </w:p>
    <w:p>
      <w:pPr>
        <w:spacing w:line="360" w:lineRule="auto"/>
        <w:ind w:firstLine="420" w:firstLineChars="200"/>
        <w:jc w:val="left"/>
        <w:rPr>
          <w:rFonts w:ascii="宋体" w:hAnsi="宋体"/>
          <w:szCs w:val="21"/>
        </w:rPr>
      </w:pPr>
      <w:r>
        <w:rPr>
          <w:rFonts w:hint="eastAsia" w:ascii="宋体" w:hAnsi="宋体"/>
          <w:szCs w:val="21"/>
        </w:rPr>
        <w:t>7.4.1 发包人通过监理人向承包人提供测量基准点、基准线和水准点及其书面资料的期限：</w:t>
      </w:r>
      <w:r>
        <w:rPr>
          <w:rFonts w:hint="eastAsia" w:ascii="宋体" w:hAnsi="宋体"/>
          <w:szCs w:val="21"/>
          <w:u w:val="single"/>
        </w:rPr>
        <w:t>不晚于开工前3天</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承包人报监理人审批施工控制网资料的期限：</w:t>
      </w:r>
      <w:r>
        <w:rPr>
          <w:rFonts w:hint="eastAsia" w:ascii="宋体" w:hAnsi="宋体"/>
          <w:szCs w:val="21"/>
          <w:u w:val="single"/>
        </w:rPr>
        <w:t>发出开工通知后2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hAnsi="宋体"/>
          <w:szCs w:val="21"/>
        </w:rPr>
        <w:t>。</w:t>
      </w:r>
    </w:p>
    <w:p>
      <w:pPr>
        <w:pStyle w:val="8"/>
        <w:spacing w:before="0" w:after="0" w:line="360" w:lineRule="auto"/>
        <w:ind w:firstLine="422" w:firstLineChars="200"/>
        <w:rPr>
          <w:sz w:val="21"/>
          <w:szCs w:val="21"/>
        </w:rPr>
      </w:pPr>
      <w:bookmarkStart w:id="704" w:name="_Toc532375621"/>
      <w:bookmarkStart w:id="705" w:name="_Toc532377357"/>
      <w:r>
        <w:rPr>
          <w:rFonts w:hint="eastAsia"/>
          <w:sz w:val="21"/>
          <w:szCs w:val="21"/>
        </w:rPr>
        <w:t>7</w:t>
      </w:r>
      <w:bookmarkStart w:id="706" w:name="_Toc297123516"/>
      <w:bookmarkStart w:id="707" w:name="_Toc312678010"/>
      <w:bookmarkStart w:id="708" w:name="_Toc297216175"/>
      <w:bookmarkStart w:id="709" w:name="_Toc300934968"/>
      <w:bookmarkStart w:id="710" w:name="_Toc304295546"/>
      <w:bookmarkStart w:id="711" w:name="_Toc312677484"/>
      <w:bookmarkStart w:id="712" w:name="_Toc303539125"/>
      <w:r>
        <w:rPr>
          <w:rFonts w:hint="eastAsia"/>
          <w:sz w:val="21"/>
          <w:szCs w:val="21"/>
        </w:rPr>
        <w:t>.5 工期延误</w:t>
      </w:r>
      <w:bookmarkEnd w:id="704"/>
      <w:bookmarkEnd w:id="705"/>
    </w:p>
    <w:bookmarkEnd w:id="706"/>
    <w:bookmarkEnd w:id="707"/>
    <w:bookmarkEnd w:id="708"/>
    <w:bookmarkEnd w:id="709"/>
    <w:bookmarkEnd w:id="710"/>
    <w:bookmarkEnd w:id="711"/>
    <w:bookmarkEnd w:id="712"/>
    <w:p>
      <w:pPr>
        <w:spacing w:line="360" w:lineRule="auto"/>
        <w:ind w:firstLine="420" w:firstLineChars="200"/>
        <w:jc w:val="left"/>
        <w:rPr>
          <w:rFonts w:ascii="宋体" w:hAnsi="宋体"/>
          <w:szCs w:val="21"/>
        </w:rPr>
      </w:pPr>
      <w:bookmarkStart w:id="713" w:name="_Hlk528927940"/>
      <w:r>
        <w:rPr>
          <w:rFonts w:hint="eastAsia" w:ascii="宋体" w:hAnsi="宋体"/>
          <w:szCs w:val="21"/>
        </w:rPr>
        <w:t>7.5.1 因发包人原因导致工期延误：</w:t>
      </w:r>
    </w:p>
    <w:p>
      <w:pPr>
        <w:spacing w:line="360" w:lineRule="auto"/>
        <w:ind w:firstLine="420" w:firstLineChars="200"/>
        <w:jc w:val="left"/>
        <w:rPr>
          <w:rFonts w:ascii="宋体" w:hAnsi="宋体"/>
          <w:szCs w:val="21"/>
        </w:rPr>
      </w:pPr>
      <w:r>
        <w:rPr>
          <w:rFonts w:hint="eastAsia" w:ascii="宋体" w:hAnsi="宋体"/>
          <w:szCs w:val="21"/>
        </w:rPr>
        <w:t>在合同履行过程中，除通用条款约定外，因下列情况导致工期延误和（或）费用增加的，由发包人承担由此延误的工期和（或）增加的费用：</w:t>
      </w:r>
    </w:p>
    <w:p>
      <w:pPr>
        <w:spacing w:line="360" w:lineRule="auto"/>
        <w:ind w:firstLine="420" w:firstLineChars="200"/>
        <w:jc w:val="left"/>
        <w:rPr>
          <w:rFonts w:ascii="宋体" w:hAnsi="宋体"/>
          <w:szCs w:val="21"/>
        </w:rPr>
      </w:pPr>
      <w:r>
        <w:rPr>
          <w:rFonts w:hint="eastAsia" w:ascii="宋体" w:hAnsi="宋体"/>
          <w:szCs w:val="21"/>
        </w:rPr>
        <w:t>（1）发包人未能按合同约定提供施工场地，且该未提供开工条件直接影响项目关键线路的；</w:t>
      </w:r>
    </w:p>
    <w:p>
      <w:pPr>
        <w:spacing w:line="360" w:lineRule="auto"/>
        <w:ind w:firstLine="420" w:firstLineChars="200"/>
        <w:jc w:val="left"/>
        <w:rPr>
          <w:rFonts w:ascii="宋体" w:hAnsi="宋体"/>
          <w:szCs w:val="21"/>
        </w:rPr>
      </w:pPr>
      <w:r>
        <w:rPr>
          <w:rFonts w:hint="eastAsia" w:ascii="宋体" w:hAnsi="宋体"/>
          <w:szCs w:val="21"/>
        </w:rPr>
        <w:t>（2）发包人提供的测量基准点、基准线和水准点及其书面资料存在错误或疏漏，且该错误或疏漏直接影响项目关键线路的；</w:t>
      </w:r>
    </w:p>
    <w:p>
      <w:pPr>
        <w:spacing w:line="360" w:lineRule="auto"/>
        <w:ind w:firstLine="420" w:firstLineChars="200"/>
        <w:jc w:val="left"/>
        <w:rPr>
          <w:rFonts w:ascii="宋体" w:hAnsi="宋体"/>
          <w:szCs w:val="21"/>
        </w:rPr>
      </w:pPr>
      <w:r>
        <w:rPr>
          <w:rFonts w:hint="eastAsia" w:ascii="宋体" w:hAnsi="宋体"/>
          <w:szCs w:val="21"/>
        </w:rPr>
        <w:t>（3）监理人未按合同约定发出指示、批准等文件，且该未按合同约定发出指示、批准直接影响项目关键线路的；</w:t>
      </w:r>
    </w:p>
    <w:p>
      <w:pPr>
        <w:spacing w:line="360" w:lineRule="auto"/>
        <w:ind w:firstLine="420" w:firstLineChars="200"/>
        <w:jc w:val="left"/>
        <w:rPr>
          <w:rFonts w:ascii="宋体" w:hAnsi="宋体"/>
          <w:szCs w:val="21"/>
        </w:rPr>
      </w:pPr>
      <w:r>
        <w:rPr>
          <w:rFonts w:hint="eastAsia" w:ascii="宋体" w:hAnsi="宋体"/>
          <w:szCs w:val="21"/>
        </w:rPr>
        <w:t>（4）变更未及时审批，直接影响项目关键线路的；</w:t>
      </w:r>
    </w:p>
    <w:p>
      <w:pPr>
        <w:spacing w:line="360" w:lineRule="auto"/>
        <w:ind w:firstLine="420" w:firstLineChars="200"/>
        <w:jc w:val="left"/>
        <w:rPr>
          <w:rFonts w:ascii="宋体" w:hAnsi="宋体"/>
          <w:szCs w:val="21"/>
        </w:rPr>
      </w:pPr>
      <w:r>
        <w:rPr>
          <w:rFonts w:hint="eastAsia" w:ascii="宋体" w:hAnsi="宋体"/>
          <w:szCs w:val="21"/>
        </w:rPr>
        <w:t>（5）实施变更直接影响项目关键线路的；</w:t>
      </w:r>
    </w:p>
    <w:p>
      <w:pPr>
        <w:spacing w:line="360" w:lineRule="auto"/>
        <w:ind w:firstLine="420" w:firstLineChars="200"/>
        <w:jc w:val="left"/>
        <w:rPr>
          <w:rFonts w:ascii="宋体" w:hAnsi="宋体"/>
          <w:szCs w:val="21"/>
        </w:rPr>
      </w:pPr>
      <w:r>
        <w:rPr>
          <w:rFonts w:hint="eastAsia" w:ascii="宋体" w:hAnsi="宋体"/>
          <w:szCs w:val="21"/>
        </w:rPr>
        <w:t>（6）因发包人原因导致工程暂停施工、停建、缓建的；</w:t>
      </w:r>
    </w:p>
    <w:p>
      <w:pPr>
        <w:spacing w:line="360" w:lineRule="auto"/>
        <w:ind w:firstLine="420" w:firstLineChars="200"/>
        <w:jc w:val="left"/>
        <w:rPr>
          <w:rFonts w:ascii="宋体" w:hAnsi="宋体"/>
          <w:szCs w:val="21"/>
        </w:rPr>
      </w:pPr>
      <w:r>
        <w:rPr>
          <w:rFonts w:hint="eastAsia" w:ascii="宋体" w:hAnsi="宋体"/>
          <w:szCs w:val="21"/>
        </w:rPr>
        <w:t>（7）因征地拆迁、当地群众阻工等情形的；</w:t>
      </w:r>
    </w:p>
    <w:p>
      <w:pPr>
        <w:spacing w:line="360" w:lineRule="auto"/>
        <w:ind w:firstLine="420" w:firstLineChars="200"/>
        <w:jc w:val="left"/>
        <w:rPr>
          <w:rFonts w:ascii="宋体" w:hAnsi="宋体"/>
          <w:szCs w:val="21"/>
          <w:u w:val="single"/>
        </w:rPr>
      </w:pPr>
      <w:r>
        <w:rPr>
          <w:rFonts w:hint="eastAsia" w:ascii="宋体" w:hAnsi="宋体"/>
          <w:szCs w:val="21"/>
        </w:rPr>
        <w:t>（8）</w:t>
      </w:r>
      <w:r>
        <w:rPr>
          <w:rFonts w:hint="eastAsia" w:ascii="宋体" w:hAnsi="宋体"/>
          <w:szCs w:val="21"/>
          <w:u w:val="single"/>
        </w:rPr>
        <w:t>合同约定的其他情形</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7.5.2 因承包人原因导致工期延误</w:t>
      </w:r>
    </w:p>
    <w:p>
      <w:pPr>
        <w:spacing w:line="360" w:lineRule="auto"/>
        <w:ind w:firstLine="420" w:firstLineChars="200"/>
        <w:jc w:val="left"/>
        <w:rPr>
          <w:rFonts w:ascii="宋体" w:hAnsi="宋体"/>
          <w:szCs w:val="21"/>
        </w:rPr>
      </w:pPr>
      <w:r>
        <w:rPr>
          <w:rFonts w:hint="eastAsia" w:ascii="宋体" w:hAnsi="宋体"/>
          <w:szCs w:val="21"/>
          <w:u w:val="single"/>
        </w:rPr>
        <w:t>因承包人原因造成工期延误，逾期竣工按16.2.2（6）目执行。</w:t>
      </w:r>
    </w:p>
    <w:bookmarkEnd w:id="713"/>
    <w:p>
      <w:pPr>
        <w:pStyle w:val="8"/>
        <w:spacing w:before="0" w:after="0" w:line="360" w:lineRule="auto"/>
        <w:ind w:firstLine="422" w:firstLineChars="200"/>
        <w:rPr>
          <w:sz w:val="21"/>
          <w:szCs w:val="21"/>
        </w:rPr>
      </w:pPr>
      <w:bookmarkStart w:id="714" w:name="_Toc532375622"/>
      <w:bookmarkStart w:id="715" w:name="_Toc532377358"/>
      <w:bookmarkStart w:id="716" w:name="_Hlk528927997"/>
      <w:r>
        <w:rPr>
          <w:rFonts w:hint="eastAsia"/>
          <w:sz w:val="21"/>
          <w:szCs w:val="21"/>
        </w:rPr>
        <w:t>7</w:t>
      </w:r>
      <w:bookmarkStart w:id="717" w:name="_Toc303539128"/>
      <w:bookmarkStart w:id="718" w:name="_Toc304295549"/>
      <w:bookmarkStart w:id="719" w:name="_Toc297216178"/>
      <w:bookmarkStart w:id="720" w:name="_Toc300934971"/>
      <w:bookmarkStart w:id="721" w:name="_Toc312678015"/>
      <w:bookmarkStart w:id="722" w:name="_Toc297123519"/>
      <w:r>
        <w:rPr>
          <w:rFonts w:hint="eastAsia"/>
          <w:sz w:val="21"/>
          <w:szCs w:val="21"/>
        </w:rPr>
        <w:t>.6 不</w:t>
      </w:r>
      <w:bookmarkEnd w:id="717"/>
      <w:bookmarkEnd w:id="718"/>
      <w:bookmarkEnd w:id="719"/>
      <w:bookmarkEnd w:id="720"/>
      <w:bookmarkEnd w:id="721"/>
      <w:bookmarkEnd w:id="722"/>
      <w:r>
        <w:rPr>
          <w:rFonts w:hint="eastAsia"/>
          <w:sz w:val="21"/>
          <w:szCs w:val="21"/>
        </w:rPr>
        <w:t>利物质条件</w:t>
      </w:r>
      <w:bookmarkEnd w:id="714"/>
      <w:bookmarkEnd w:id="715"/>
    </w:p>
    <w:bookmarkEnd w:id="716"/>
    <w:p>
      <w:pPr>
        <w:spacing w:line="360" w:lineRule="auto"/>
        <w:ind w:firstLine="420" w:firstLineChars="200"/>
        <w:jc w:val="left"/>
        <w:rPr>
          <w:rFonts w:ascii="宋体" w:hAnsi="宋体"/>
          <w:bCs/>
          <w:szCs w:val="21"/>
        </w:rPr>
      </w:pPr>
      <w:bookmarkStart w:id="723" w:name="_Toc297123520"/>
      <w:bookmarkStart w:id="724" w:name="_Toc304295550"/>
      <w:bookmarkStart w:id="725" w:name="_Toc300934972"/>
      <w:bookmarkStart w:id="726" w:name="_Toc303539129"/>
      <w:bookmarkStart w:id="727" w:name="_Toc312678016"/>
      <w:bookmarkStart w:id="728" w:name="_Toc297216179"/>
      <w:bookmarkStart w:id="729" w:name="_Toc318581172"/>
      <w:r>
        <w:rPr>
          <w:rFonts w:hint="eastAsia" w:ascii="宋体" w:hAnsi="宋体"/>
          <w:szCs w:val="21"/>
        </w:rPr>
        <w:t>不利物质条件的其他情形和有关约定：</w:t>
      </w:r>
      <w:bookmarkStart w:id="730" w:name="_Hlk528910274"/>
      <w:r>
        <w:rPr>
          <w:rFonts w:hint="eastAsia" w:ascii="宋体" w:hAnsi="宋体"/>
          <w:szCs w:val="21"/>
          <w:u w:val="single"/>
        </w:rPr>
        <w:t>按相关规定</w:t>
      </w:r>
      <w:r>
        <w:rPr>
          <w:rFonts w:hint="eastAsia" w:ascii="宋体" w:hAnsi="宋体"/>
          <w:szCs w:val="21"/>
        </w:rPr>
        <w:t>。</w:t>
      </w:r>
    </w:p>
    <w:bookmarkEnd w:id="723"/>
    <w:bookmarkEnd w:id="724"/>
    <w:bookmarkEnd w:id="725"/>
    <w:bookmarkEnd w:id="726"/>
    <w:bookmarkEnd w:id="727"/>
    <w:bookmarkEnd w:id="728"/>
    <w:bookmarkEnd w:id="729"/>
    <w:bookmarkEnd w:id="730"/>
    <w:p>
      <w:pPr>
        <w:pStyle w:val="8"/>
        <w:spacing w:before="0" w:after="0" w:line="360" w:lineRule="auto"/>
        <w:ind w:firstLine="422" w:firstLineChars="200"/>
        <w:rPr>
          <w:sz w:val="21"/>
          <w:szCs w:val="21"/>
        </w:rPr>
      </w:pPr>
      <w:bookmarkStart w:id="731" w:name="_Toc532377359"/>
      <w:bookmarkStart w:id="732" w:name="_Toc532375623"/>
      <w:r>
        <w:rPr>
          <w:rFonts w:hint="eastAsia"/>
          <w:sz w:val="21"/>
          <w:szCs w:val="21"/>
        </w:rPr>
        <w:t>7</w:t>
      </w:r>
      <w:bookmarkStart w:id="733" w:name="_Toc297123521"/>
      <w:bookmarkStart w:id="734" w:name="_Toc312678017"/>
      <w:bookmarkStart w:id="735" w:name="_Toc297216180"/>
      <w:bookmarkStart w:id="736" w:name="_Toc303539130"/>
      <w:bookmarkStart w:id="737" w:name="_Toc304295551"/>
      <w:bookmarkStart w:id="738" w:name="_Toc300934973"/>
      <w:r>
        <w:rPr>
          <w:rFonts w:hint="eastAsia"/>
          <w:sz w:val="21"/>
          <w:szCs w:val="21"/>
        </w:rPr>
        <w:t>.7异常恶劣的气候条件</w:t>
      </w:r>
      <w:bookmarkEnd w:id="731"/>
      <w:bookmarkEnd w:id="732"/>
    </w:p>
    <w:bookmarkEnd w:id="733"/>
    <w:bookmarkEnd w:id="734"/>
    <w:bookmarkEnd w:id="735"/>
    <w:bookmarkEnd w:id="736"/>
    <w:bookmarkEnd w:id="737"/>
    <w:bookmarkEnd w:id="738"/>
    <w:p>
      <w:pPr>
        <w:spacing w:line="360" w:lineRule="auto"/>
        <w:ind w:firstLine="420" w:firstLineChars="200"/>
        <w:jc w:val="left"/>
        <w:rPr>
          <w:rFonts w:ascii="宋体" w:hAnsi="宋体"/>
          <w:szCs w:val="21"/>
          <w:u w:val="single"/>
        </w:rPr>
      </w:pPr>
      <w:r>
        <w:rPr>
          <w:rFonts w:hint="eastAsia" w:ascii="宋体" w:hAnsi="宋体"/>
          <w:szCs w:val="21"/>
        </w:rPr>
        <w:t>发包人和承包人同意以下情形视为异常恶劣的气候条件：</w:t>
      </w:r>
      <w:r>
        <w:rPr>
          <w:rFonts w:hint="eastAsia" w:ascii="宋体" w:hAnsi="宋体"/>
          <w:szCs w:val="21"/>
          <w:u w:val="single"/>
        </w:rPr>
        <w:t xml:space="preserve">    （异常气候是指项目所在地50年以上一遇的罕见气候现象）</w:t>
      </w:r>
      <w:r>
        <w:rPr>
          <w:rFonts w:hint="eastAsia" w:ascii="宋体" w:hAnsi="宋体"/>
          <w:szCs w:val="21"/>
        </w:rPr>
        <w:t>。</w:t>
      </w:r>
    </w:p>
    <w:p>
      <w:pPr>
        <w:pStyle w:val="8"/>
        <w:spacing w:before="0" w:after="0" w:line="360" w:lineRule="auto"/>
        <w:ind w:firstLine="422" w:firstLineChars="200"/>
        <w:rPr>
          <w:sz w:val="21"/>
          <w:szCs w:val="21"/>
        </w:rPr>
      </w:pPr>
      <w:bookmarkStart w:id="739" w:name="_Toc532377360"/>
      <w:bookmarkStart w:id="740" w:name="_Toc532375624"/>
      <w:r>
        <w:rPr>
          <w:rFonts w:hint="eastAsia"/>
          <w:sz w:val="21"/>
          <w:szCs w:val="21"/>
        </w:rPr>
        <w:t>7.9 提前竣工</w:t>
      </w:r>
      <w:bookmarkEnd w:id="739"/>
      <w:bookmarkEnd w:id="740"/>
    </w:p>
    <w:p>
      <w:pPr>
        <w:spacing w:line="360" w:lineRule="auto"/>
        <w:ind w:firstLine="420" w:firstLineChars="200"/>
        <w:jc w:val="left"/>
        <w:rPr>
          <w:rFonts w:ascii="宋体" w:hAnsi="宋体"/>
          <w:szCs w:val="21"/>
        </w:rPr>
      </w:pPr>
      <w:r>
        <w:rPr>
          <w:rFonts w:hint="eastAsia" w:ascii="宋体" w:hAnsi="宋体"/>
          <w:szCs w:val="21"/>
        </w:rPr>
        <w:t>7.9.1项细化为：</w:t>
      </w:r>
    </w:p>
    <w:p>
      <w:pPr>
        <w:spacing w:line="360" w:lineRule="auto"/>
        <w:ind w:firstLine="420" w:firstLineChars="200"/>
        <w:jc w:val="left"/>
        <w:rPr>
          <w:rFonts w:ascii="宋体" w:hAnsi="宋体"/>
          <w:szCs w:val="21"/>
        </w:rPr>
      </w:pPr>
      <w:r>
        <w:rPr>
          <w:rFonts w:hint="eastAsia" w:ascii="宋体" w:hAnsi="宋体"/>
          <w:szCs w:val="21"/>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pPr>
        <w:spacing w:line="360" w:lineRule="auto"/>
        <w:ind w:firstLine="420" w:firstLineChars="200"/>
        <w:jc w:val="left"/>
        <w:rPr>
          <w:rFonts w:ascii="宋体" w:hAnsi="宋体"/>
          <w:szCs w:val="21"/>
        </w:rPr>
      </w:pPr>
      <w:r>
        <w:rPr>
          <w:rFonts w:hint="eastAsia" w:ascii="宋体" w:hAnsi="宋体"/>
          <w:szCs w:val="21"/>
        </w:rPr>
        <w:t>（2）发包人不得随意要求承包人提前竣工，承包人也不得随意提出提前竣工的建议。如遇特殊情况，确需将工期提前的，发包人和承包人必须采取有效措施，确保工程质量。</w:t>
      </w:r>
    </w:p>
    <w:p>
      <w:pPr>
        <w:spacing w:line="360" w:lineRule="auto"/>
        <w:ind w:firstLine="420" w:firstLineChars="200"/>
        <w:jc w:val="left"/>
        <w:rPr>
          <w:rFonts w:ascii="宋体" w:hAnsi="宋体"/>
          <w:szCs w:val="21"/>
        </w:rPr>
      </w:pPr>
      <w:r>
        <w:rPr>
          <w:rFonts w:hint="eastAsia" w:ascii="宋体" w:hAnsi="宋体"/>
          <w:szCs w:val="21"/>
        </w:rPr>
        <w:t>（3）如果承包人提前竣工，发包人支付奖金的计算方法在合同条款中约定，时间自竣工验收证书中写明的实际竣工日期起至预定的竣工日期止，按天计算。但奖金最高限额不超过项目7.9.2项的限额。</w:t>
      </w:r>
    </w:p>
    <w:p>
      <w:pPr>
        <w:spacing w:line="360" w:lineRule="auto"/>
        <w:ind w:firstLine="420" w:firstLineChars="200"/>
        <w:jc w:val="left"/>
        <w:rPr>
          <w:rFonts w:ascii="宋体" w:hAnsi="宋体"/>
          <w:szCs w:val="21"/>
        </w:rPr>
      </w:pPr>
      <w:r>
        <w:rPr>
          <w:rFonts w:hint="eastAsia" w:ascii="宋体" w:hAnsi="宋体"/>
          <w:szCs w:val="21"/>
        </w:rPr>
        <w:t>7.9.2 提前竣工的奖励：</w:t>
      </w:r>
      <w:r>
        <w:rPr>
          <w:rFonts w:hint="eastAsia" w:ascii="宋体" w:hAnsi="宋体"/>
          <w:szCs w:val="21"/>
          <w:u w:val="single"/>
        </w:rPr>
        <w:t>无</w:t>
      </w:r>
      <w:r>
        <w:rPr>
          <w:rFonts w:hint="eastAsia" w:ascii="宋体" w:hAnsi="宋体"/>
          <w:szCs w:val="21"/>
        </w:rPr>
        <w:t>。</w:t>
      </w:r>
    </w:p>
    <w:p>
      <w:pPr>
        <w:pStyle w:val="7"/>
        <w:spacing w:before="120" w:beforeLines="50" w:after="120" w:afterLines="50" w:line="360" w:lineRule="auto"/>
        <w:rPr>
          <w:sz w:val="21"/>
          <w:szCs w:val="21"/>
        </w:rPr>
      </w:pPr>
      <w:bookmarkStart w:id="741" w:name="_Toc532375625"/>
      <w:bookmarkStart w:id="742" w:name="_Toc351203640"/>
      <w:bookmarkStart w:id="743" w:name="_Toc532377361"/>
      <w:r>
        <w:rPr>
          <w:rFonts w:hint="eastAsia"/>
          <w:sz w:val="21"/>
          <w:szCs w:val="21"/>
        </w:rPr>
        <w:t>8. 材料与设备</w:t>
      </w:r>
      <w:bookmarkEnd w:id="741"/>
      <w:bookmarkEnd w:id="742"/>
      <w:bookmarkEnd w:id="743"/>
    </w:p>
    <w:p>
      <w:pPr>
        <w:pStyle w:val="8"/>
        <w:spacing w:before="0" w:after="0" w:line="360" w:lineRule="auto"/>
        <w:ind w:firstLine="422" w:firstLineChars="200"/>
        <w:rPr>
          <w:sz w:val="21"/>
          <w:szCs w:val="21"/>
        </w:rPr>
      </w:pPr>
      <w:bookmarkStart w:id="744" w:name="_Toc532377362"/>
      <w:bookmarkStart w:id="745" w:name="_Toc532375626"/>
      <w:r>
        <w:rPr>
          <w:rFonts w:hint="eastAsia"/>
          <w:sz w:val="21"/>
          <w:szCs w:val="21"/>
        </w:rPr>
        <w:t>8.1发包人供应材料与工程设备</w:t>
      </w:r>
      <w:bookmarkEnd w:id="744"/>
      <w:bookmarkEnd w:id="745"/>
    </w:p>
    <w:p>
      <w:pPr>
        <w:spacing w:line="360" w:lineRule="auto"/>
        <w:ind w:firstLine="420" w:firstLineChars="200"/>
        <w:jc w:val="left"/>
        <w:rPr>
          <w:rFonts w:ascii="宋体" w:hAnsi="宋体"/>
          <w:szCs w:val="21"/>
        </w:rPr>
      </w:pPr>
      <w:r>
        <w:rPr>
          <w:rFonts w:hint="eastAsia" w:ascii="宋体" w:hAnsi="宋体"/>
          <w:szCs w:val="21"/>
        </w:rPr>
        <w:t>材料的名称、规格、数量和价格：</w:t>
      </w:r>
      <w:r>
        <w:rPr>
          <w:rFonts w:hint="eastAsia" w:ascii="宋体" w:hAnsi="宋体"/>
          <w:szCs w:val="21"/>
          <w:u w:val="single"/>
        </w:rPr>
        <w:t>发包人应提供甲供材料的明细表，结算时按经监理人、承包人共同确认的供应数量乘以招标时甲供材料暂定价格，在支付工程款时扣除</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宋体" w:hAnsi="宋体"/>
          <w:szCs w:val="21"/>
        </w:rPr>
        <w:t>。</w:t>
      </w:r>
    </w:p>
    <w:p>
      <w:pPr>
        <w:pStyle w:val="8"/>
        <w:spacing w:before="0" w:after="0" w:line="360" w:lineRule="auto"/>
        <w:ind w:firstLine="422" w:firstLineChars="200"/>
        <w:rPr>
          <w:sz w:val="21"/>
          <w:szCs w:val="21"/>
        </w:rPr>
      </w:pPr>
      <w:bookmarkStart w:id="746" w:name="_Toc532375627"/>
      <w:bookmarkStart w:id="747" w:name="_Toc351203554"/>
      <w:bookmarkStart w:id="748" w:name="_Toc532377363"/>
      <w:r>
        <w:rPr>
          <w:rFonts w:hint="eastAsia"/>
          <w:sz w:val="21"/>
          <w:szCs w:val="21"/>
        </w:rPr>
        <w:t>8</w:t>
      </w:r>
      <w:bookmarkStart w:id="749" w:name="_Toc296503060"/>
      <w:bookmarkStart w:id="750" w:name="_Toc296346561"/>
      <w:bookmarkStart w:id="751" w:name="_Toc337558778"/>
      <w:r>
        <w:rPr>
          <w:rFonts w:hint="eastAsia"/>
          <w:sz w:val="21"/>
          <w:szCs w:val="21"/>
        </w:rPr>
        <w:t>.2 承包人采购材料与工程设备</w:t>
      </w:r>
      <w:bookmarkEnd w:id="746"/>
      <w:bookmarkEnd w:id="747"/>
      <w:bookmarkEnd w:id="748"/>
    </w:p>
    <w:bookmarkEnd w:id="749"/>
    <w:bookmarkEnd w:id="750"/>
    <w:bookmarkEnd w:id="751"/>
    <w:p>
      <w:pPr>
        <w:spacing w:line="360" w:lineRule="auto"/>
        <w:ind w:firstLine="420" w:firstLineChars="200"/>
        <w:jc w:val="left"/>
        <w:rPr>
          <w:rFonts w:ascii="宋体" w:hAnsi="宋体"/>
          <w:szCs w:val="21"/>
        </w:rPr>
      </w:pPr>
      <w:r>
        <w:rPr>
          <w:rFonts w:hint="eastAsia" w:ascii="宋体" w:hAnsi="宋体"/>
          <w:szCs w:val="21"/>
        </w:rPr>
        <w:t>8.2.1承包人负责采购、运输和保管的材料、工程设备：</w:t>
      </w:r>
      <w:r>
        <w:rPr>
          <w:rFonts w:hint="eastAsia" w:ascii="宋体" w:hAnsi="宋体"/>
          <w:szCs w:val="21"/>
          <w:u w:val="single"/>
        </w:rPr>
        <w:t>由承包人自行采购。承包人采购材料设备必须经监理人和发包人批准，结算时由监理人和发包人按招标文件规定审核的数量和合同约定</w:t>
      </w:r>
      <w:r>
        <w:rPr>
          <w:rFonts w:ascii="宋体" w:hAnsi="宋体"/>
          <w:szCs w:val="21"/>
          <w:u w:val="single"/>
        </w:rPr>
        <w:t>价格</w:t>
      </w:r>
      <w:r>
        <w:rPr>
          <w:rFonts w:hint="eastAsia" w:ascii="宋体" w:hAnsi="宋体"/>
          <w:szCs w:val="21"/>
          <w:u w:val="single"/>
        </w:rPr>
        <w:t>计算</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8.2.2承包人报送监理人审批的时间：</w:t>
      </w:r>
      <w:r>
        <w:rPr>
          <w:rFonts w:hint="eastAsia" w:ascii="宋体" w:hAnsi="宋体"/>
          <w:szCs w:val="21"/>
          <w:u w:val="single"/>
        </w:rPr>
        <w:t>按发包人及监理单位的相关规定执行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8.2.3承包人选择的生产厂家或供应商满足下列条件：</w:t>
      </w:r>
    </w:p>
    <w:p>
      <w:pPr>
        <w:spacing w:line="360" w:lineRule="auto"/>
        <w:ind w:firstLine="420" w:firstLineChars="200"/>
        <w:jc w:val="left"/>
        <w:rPr>
          <w:rFonts w:ascii="宋体" w:hAnsi="宋体"/>
          <w:szCs w:val="21"/>
        </w:rPr>
      </w:pPr>
      <w:r>
        <w:rPr>
          <w:rFonts w:hint="eastAsia" w:ascii="宋体" w:hAnsi="宋体"/>
          <w:szCs w:val="21"/>
        </w:rPr>
        <w:t>A.承包人选择的混凝土供应商应满足下列条件：</w:t>
      </w:r>
      <w:r>
        <w:rPr>
          <w:rFonts w:hint="eastAsia" w:ascii="宋体" w:hAnsi="宋体"/>
          <w:szCs w:val="21"/>
          <w:u w:val="single"/>
        </w:rPr>
        <w:t>符合相关规定</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B.承包人选择的钢材供应商应满足下列条件：</w:t>
      </w:r>
      <w:r>
        <w:rPr>
          <w:rFonts w:hint="eastAsia" w:ascii="宋体" w:hAnsi="宋体"/>
          <w:szCs w:val="21"/>
          <w:u w:val="single"/>
        </w:rPr>
        <w:t>符合相关规定</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C.承包人选择的水泥供应商应满足下列条件：</w:t>
      </w:r>
      <w:r>
        <w:rPr>
          <w:rFonts w:hint="eastAsia" w:ascii="宋体" w:hAnsi="宋体"/>
          <w:szCs w:val="21"/>
          <w:u w:val="single"/>
        </w:rPr>
        <w:t>符合相关规定</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D.承包人采购的材料与设计或标准要求不符时，承包人应按发包人和监理人要求的时间运出施工场地，并重新采购符合要求的产品，并承担由此发生的费用，因此延误的工期不予顺延。</w:t>
      </w:r>
    </w:p>
    <w:p>
      <w:pPr>
        <w:spacing w:line="360" w:lineRule="auto"/>
        <w:ind w:firstLine="420" w:firstLineChars="200"/>
        <w:jc w:val="left"/>
        <w:rPr>
          <w:rFonts w:ascii="宋体" w:hAnsi="宋体"/>
          <w:szCs w:val="21"/>
        </w:rPr>
      </w:pPr>
      <w:r>
        <w:rPr>
          <w:rFonts w:hint="eastAsia" w:ascii="宋体" w:hAnsi="宋体"/>
          <w:szCs w:val="21"/>
        </w:rPr>
        <w:t>E.承包人采购的材料在使用前，应按发包人和监理人的要求进行检验或试验，不合格的不得使用。</w:t>
      </w:r>
    </w:p>
    <w:p>
      <w:pPr>
        <w:spacing w:line="360" w:lineRule="auto"/>
        <w:ind w:firstLine="420" w:firstLineChars="200"/>
        <w:jc w:val="left"/>
        <w:rPr>
          <w:rFonts w:ascii="宋体" w:hAnsi="宋体"/>
          <w:szCs w:val="21"/>
        </w:rPr>
      </w:pPr>
      <w:r>
        <w:rPr>
          <w:rFonts w:hint="eastAsia" w:ascii="宋体" w:hAnsi="宋体"/>
          <w:szCs w:val="21"/>
        </w:rPr>
        <w:t>F.</w:t>
      </w:r>
      <w:r>
        <w:rPr>
          <w:rFonts w:hint="eastAsia" w:ascii="宋体" w:hAnsi="宋体"/>
          <w:szCs w:val="21"/>
          <w:u w:val="single"/>
        </w:rPr>
        <w:t xml:space="preserve">        </w:t>
      </w:r>
      <w:r>
        <w:rPr>
          <w:rFonts w:hint="eastAsia" w:ascii="宋体" w:hAnsi="宋体"/>
          <w:szCs w:val="21"/>
        </w:rPr>
        <w:t>。</w:t>
      </w:r>
    </w:p>
    <w:p>
      <w:pPr>
        <w:pStyle w:val="8"/>
        <w:spacing w:before="0" w:after="0" w:line="360" w:lineRule="auto"/>
        <w:ind w:firstLine="422" w:firstLineChars="200"/>
        <w:rPr>
          <w:sz w:val="21"/>
          <w:szCs w:val="21"/>
        </w:rPr>
      </w:pPr>
      <w:bookmarkStart w:id="752" w:name="_Toc532375628"/>
      <w:bookmarkStart w:id="753" w:name="_Toc532377364"/>
      <w:r>
        <w:rPr>
          <w:rFonts w:hint="eastAsia"/>
          <w:sz w:val="21"/>
          <w:szCs w:val="21"/>
        </w:rPr>
        <w:t>8</w:t>
      </w:r>
      <w:bookmarkStart w:id="754" w:name="_Toc297123527"/>
      <w:bookmarkStart w:id="755" w:name="_Toc297120467"/>
      <w:bookmarkStart w:id="756" w:name="_Toc292559877"/>
      <w:bookmarkStart w:id="757" w:name="_Toc297216186"/>
      <w:bookmarkStart w:id="758" w:name="_Toc292559372"/>
      <w:bookmarkStart w:id="759" w:name="_Toc296346668"/>
      <w:bookmarkStart w:id="760" w:name="_Toc303539136"/>
      <w:bookmarkStart w:id="761" w:name="_Toc296503167"/>
      <w:bookmarkStart w:id="762" w:name="_Toc296891207"/>
      <w:bookmarkStart w:id="763" w:name="_Toc312678019"/>
      <w:bookmarkStart w:id="764" w:name="_Toc312677493"/>
      <w:bookmarkStart w:id="765" w:name="_Toc300934979"/>
      <w:bookmarkStart w:id="766" w:name="_Toc296347166"/>
      <w:bookmarkStart w:id="767" w:name="_Toc296890995"/>
      <w:bookmarkStart w:id="768" w:name="_Toc297048353"/>
      <w:bookmarkStart w:id="769" w:name="_Toc280868654"/>
      <w:bookmarkStart w:id="770" w:name="_Toc304295556"/>
      <w:bookmarkStart w:id="771" w:name="_Toc296944506"/>
      <w:bookmarkStart w:id="772" w:name="_Toc267251424"/>
      <w:bookmarkStart w:id="773" w:name="_Toc280868655"/>
      <w:bookmarkStart w:id="774" w:name="_Toc280868656"/>
      <w:r>
        <w:rPr>
          <w:rFonts w:hint="eastAsia"/>
          <w:sz w:val="21"/>
          <w:szCs w:val="21"/>
        </w:rPr>
        <w:t>.4 材料与工程设备的保管与使用</w:t>
      </w:r>
      <w:bookmarkEnd w:id="752"/>
      <w:bookmarkEnd w:id="753"/>
    </w:p>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Pr>
        <w:spacing w:line="360" w:lineRule="auto"/>
        <w:ind w:firstLine="420" w:firstLineChars="200"/>
        <w:jc w:val="left"/>
        <w:rPr>
          <w:rFonts w:ascii="宋体" w:hAnsi="宋体"/>
          <w:szCs w:val="21"/>
        </w:rPr>
      </w:pPr>
      <w:r>
        <w:rPr>
          <w:rFonts w:hint="eastAsia" w:ascii="宋体" w:hAnsi="宋体"/>
          <w:szCs w:val="21"/>
        </w:rPr>
        <w:t>8</w:t>
      </w:r>
      <w:bookmarkStart w:id="775" w:name="_Toc292559878"/>
      <w:bookmarkStart w:id="776" w:name="_Toc292559373"/>
      <w:bookmarkStart w:id="777" w:name="_Toc312678020"/>
      <w:bookmarkStart w:id="778" w:name="_Toc297048354"/>
      <w:bookmarkStart w:id="779" w:name="_Toc303539137"/>
      <w:bookmarkStart w:id="780" w:name="_Toc304295557"/>
      <w:bookmarkStart w:id="781" w:name="_Toc297120468"/>
      <w:bookmarkStart w:id="782" w:name="_Toc297123528"/>
      <w:bookmarkStart w:id="783" w:name="_Toc296346669"/>
      <w:bookmarkStart w:id="784" w:name="_Toc300934980"/>
      <w:bookmarkStart w:id="785" w:name="_Toc318581173"/>
      <w:bookmarkStart w:id="786" w:name="_Toc297216187"/>
      <w:bookmarkStart w:id="787" w:name="_Toc296944507"/>
      <w:bookmarkStart w:id="788" w:name="_Toc312677494"/>
      <w:bookmarkStart w:id="789" w:name="_Toc296347167"/>
      <w:bookmarkStart w:id="790" w:name="_Toc296503168"/>
      <w:bookmarkStart w:id="791" w:name="_Toc296890996"/>
      <w:bookmarkStart w:id="792" w:name="_Toc296891208"/>
      <w:r>
        <w:rPr>
          <w:rFonts w:hint="eastAsia" w:ascii="宋体" w:hAnsi="宋体"/>
          <w:szCs w:val="21"/>
        </w:rPr>
        <w:t>.4.1 发包人供应的材料设备的保管费用的承担：</w:t>
      </w:r>
      <w:r>
        <w:rPr>
          <w:rFonts w:hint="eastAsia" w:ascii="宋体" w:hAnsi="宋体"/>
          <w:szCs w:val="21"/>
          <w:u w:val="single"/>
        </w:rPr>
        <w:t>由承包人承担</w:t>
      </w:r>
      <w:r>
        <w:rPr>
          <w:rFonts w:hint="eastAsia" w:ascii="宋体" w:hAnsi="宋体"/>
          <w:szCs w:val="21"/>
        </w:rPr>
        <w:t>。</w:t>
      </w:r>
      <w:bookmarkEnd w:id="775"/>
      <w:bookmarkEnd w:id="776"/>
    </w:p>
    <w:p>
      <w:pPr>
        <w:pStyle w:val="8"/>
        <w:spacing w:before="0" w:after="0" w:line="360" w:lineRule="auto"/>
        <w:ind w:firstLine="422" w:firstLineChars="200"/>
        <w:rPr>
          <w:sz w:val="21"/>
          <w:szCs w:val="21"/>
        </w:rPr>
      </w:pPr>
      <w:bookmarkStart w:id="793" w:name="_Toc532375629"/>
      <w:bookmarkStart w:id="794" w:name="_Toc532377365"/>
      <w:r>
        <w:rPr>
          <w:rFonts w:hint="eastAsia"/>
          <w:sz w:val="21"/>
          <w:szCs w:val="21"/>
        </w:rPr>
        <w:t>8.6 样品</w:t>
      </w:r>
      <w:bookmarkEnd w:id="793"/>
      <w:bookmarkEnd w:id="794"/>
    </w:p>
    <w:p>
      <w:pPr>
        <w:autoSpaceDE w:val="0"/>
        <w:autoSpaceDN w:val="0"/>
        <w:spacing w:line="360" w:lineRule="auto"/>
        <w:ind w:firstLine="420" w:firstLineChars="200"/>
        <w:jc w:val="left"/>
        <w:rPr>
          <w:rFonts w:ascii="宋体" w:hAnsi="宋体"/>
          <w:szCs w:val="21"/>
        </w:rPr>
      </w:pPr>
      <w:r>
        <w:rPr>
          <w:rFonts w:hint="eastAsia" w:ascii="宋体" w:hAnsi="宋体"/>
          <w:szCs w:val="21"/>
        </w:rPr>
        <w:t>8.6.1 样品的报送与封存</w:t>
      </w:r>
    </w:p>
    <w:p>
      <w:pPr>
        <w:autoSpaceDE w:val="0"/>
        <w:autoSpaceDN w:val="0"/>
        <w:spacing w:line="360" w:lineRule="auto"/>
        <w:ind w:firstLine="420" w:firstLineChars="200"/>
        <w:jc w:val="left"/>
        <w:rPr>
          <w:rFonts w:ascii="宋体" w:hAnsi="宋体"/>
          <w:szCs w:val="21"/>
        </w:rPr>
      </w:pPr>
      <w:r>
        <w:rPr>
          <w:rFonts w:hint="eastAsia" w:ascii="宋体" w:hAnsi="宋体"/>
          <w:szCs w:val="21"/>
        </w:rPr>
        <w:t>需要承包人报送样品的材料或工程设备，样品的种类、名称、规格、数量要求：</w:t>
      </w:r>
      <w:r>
        <w:rPr>
          <w:rFonts w:hint="eastAsia" w:ascii="宋体" w:hAnsi="宋体"/>
          <w:szCs w:val="21"/>
          <w:u w:val="single"/>
        </w:rPr>
        <w:t>所有材料均送样品贰份，由发包方认可后当面封存在发包方现场办公室留存</w:t>
      </w:r>
      <w:r>
        <w:rPr>
          <w:rFonts w:hint="eastAsia" w:ascii="宋体" w:hAnsi="宋体"/>
          <w:szCs w:val="21"/>
        </w:rPr>
        <w:t>。</w:t>
      </w:r>
    </w:p>
    <w:p>
      <w:pPr>
        <w:pStyle w:val="8"/>
        <w:spacing w:before="0" w:after="0" w:line="360" w:lineRule="auto"/>
        <w:ind w:firstLine="422" w:firstLineChars="200"/>
        <w:rPr>
          <w:sz w:val="21"/>
          <w:szCs w:val="21"/>
        </w:rPr>
      </w:pPr>
      <w:bookmarkStart w:id="795" w:name="_Toc532375630"/>
      <w:bookmarkStart w:id="796" w:name="_Toc532377366"/>
      <w:r>
        <w:rPr>
          <w:rFonts w:hint="eastAsia"/>
          <w:sz w:val="21"/>
          <w:szCs w:val="21"/>
        </w:rPr>
        <w:t>8.8 施工设备和临时设施</w:t>
      </w:r>
      <w:bookmarkEnd w:id="795"/>
      <w:bookmarkEnd w:id="796"/>
    </w:p>
    <w:p>
      <w:pPr>
        <w:autoSpaceDE w:val="0"/>
        <w:autoSpaceDN w:val="0"/>
        <w:spacing w:line="360" w:lineRule="auto"/>
        <w:ind w:firstLine="420" w:firstLineChars="200"/>
        <w:jc w:val="left"/>
        <w:rPr>
          <w:rFonts w:ascii="宋体" w:hAnsi="宋体"/>
          <w:szCs w:val="21"/>
        </w:rPr>
      </w:pPr>
      <w:r>
        <w:rPr>
          <w:rFonts w:hint="eastAsia" w:ascii="宋体" w:hAnsi="宋体"/>
          <w:szCs w:val="21"/>
        </w:rPr>
        <w:t>8.8.1 承包人提供的施工设备和临时设施</w:t>
      </w:r>
    </w:p>
    <w:p>
      <w:pPr>
        <w:autoSpaceDE w:val="0"/>
        <w:autoSpaceDN w:val="0"/>
        <w:spacing w:line="360" w:lineRule="auto"/>
        <w:ind w:firstLine="420" w:firstLineChars="200"/>
        <w:jc w:val="left"/>
        <w:rPr>
          <w:rFonts w:ascii="宋体" w:hAnsi="宋体"/>
          <w:szCs w:val="21"/>
        </w:rPr>
      </w:pPr>
      <w:r>
        <w:rPr>
          <w:rFonts w:hint="eastAsia" w:ascii="宋体" w:hAnsi="宋体"/>
          <w:szCs w:val="21"/>
        </w:rPr>
        <w:t>关于修建临时设施费用承担的约定：</w:t>
      </w:r>
      <w:r>
        <w:rPr>
          <w:rFonts w:hint="eastAsia" w:ascii="宋体" w:hAnsi="宋体"/>
          <w:szCs w:val="21"/>
          <w:u w:val="single"/>
        </w:rPr>
        <w:t>由承包人承担</w:t>
      </w:r>
      <w:r>
        <w:rPr>
          <w:rFonts w:hint="eastAsia" w:ascii="宋体" w:hAnsi="宋体"/>
          <w:szCs w:val="21"/>
        </w:rPr>
        <w:t>。</w:t>
      </w:r>
    </w:p>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Pr>
        <w:pStyle w:val="7"/>
        <w:spacing w:before="120" w:beforeLines="50" w:after="120" w:afterLines="50" w:line="360" w:lineRule="auto"/>
        <w:rPr>
          <w:sz w:val="21"/>
          <w:szCs w:val="21"/>
        </w:rPr>
      </w:pPr>
      <w:bookmarkStart w:id="797" w:name="_Toc532377367"/>
      <w:bookmarkStart w:id="798" w:name="_Toc532375631"/>
      <w:bookmarkStart w:id="799" w:name="_Toc351203641"/>
      <w:r>
        <w:rPr>
          <w:rFonts w:hint="eastAsia"/>
          <w:sz w:val="21"/>
          <w:szCs w:val="21"/>
        </w:rPr>
        <w:t>9</w:t>
      </w:r>
      <w:bookmarkEnd w:id="772"/>
      <w:bookmarkEnd w:id="773"/>
      <w:bookmarkEnd w:id="774"/>
      <w:bookmarkStart w:id="800" w:name="_Toc312677495"/>
      <w:bookmarkStart w:id="801" w:name="_Toc297216192"/>
      <w:bookmarkStart w:id="802" w:name="_Toc303539139"/>
      <w:bookmarkStart w:id="803" w:name="_Toc297123533"/>
      <w:bookmarkStart w:id="804" w:name="_Toc304295559"/>
      <w:bookmarkStart w:id="805" w:name="_Toc300934982"/>
      <w:bookmarkStart w:id="806" w:name="_Toc312678021"/>
      <w:r>
        <w:rPr>
          <w:rFonts w:hint="eastAsia"/>
          <w:sz w:val="21"/>
          <w:szCs w:val="21"/>
        </w:rPr>
        <w:t>. 试验与检验</w:t>
      </w:r>
      <w:bookmarkEnd w:id="797"/>
      <w:bookmarkEnd w:id="798"/>
      <w:bookmarkEnd w:id="799"/>
    </w:p>
    <w:bookmarkEnd w:id="800"/>
    <w:bookmarkEnd w:id="801"/>
    <w:bookmarkEnd w:id="802"/>
    <w:bookmarkEnd w:id="803"/>
    <w:bookmarkEnd w:id="804"/>
    <w:bookmarkEnd w:id="805"/>
    <w:bookmarkEnd w:id="806"/>
    <w:p>
      <w:pPr>
        <w:pStyle w:val="8"/>
        <w:spacing w:before="0" w:after="0" w:line="360" w:lineRule="auto"/>
        <w:ind w:firstLine="422" w:firstLineChars="200"/>
        <w:rPr>
          <w:sz w:val="21"/>
          <w:szCs w:val="21"/>
        </w:rPr>
      </w:pPr>
      <w:bookmarkStart w:id="807" w:name="_Toc532375632"/>
      <w:bookmarkStart w:id="808" w:name="_Toc532377368"/>
      <w:r>
        <w:rPr>
          <w:rFonts w:hint="eastAsia"/>
          <w:sz w:val="21"/>
          <w:szCs w:val="21"/>
        </w:rPr>
        <w:t>9</w:t>
      </w:r>
      <w:bookmarkStart w:id="809" w:name="_Toc297216193"/>
      <w:bookmarkStart w:id="810" w:name="_Toc303539140"/>
      <w:bookmarkStart w:id="811" w:name="_Toc304295560"/>
      <w:bookmarkStart w:id="812" w:name="_Toc312677496"/>
      <w:bookmarkStart w:id="813" w:name="_Toc312678022"/>
      <w:bookmarkStart w:id="814" w:name="_Toc297123534"/>
      <w:bookmarkStart w:id="815" w:name="_Toc300934983"/>
      <w:r>
        <w:rPr>
          <w:rFonts w:hint="eastAsia"/>
          <w:sz w:val="21"/>
          <w:szCs w:val="21"/>
        </w:rPr>
        <w:t>.1 试验设备与试验人员</w:t>
      </w:r>
      <w:bookmarkEnd w:id="807"/>
      <w:bookmarkEnd w:id="808"/>
    </w:p>
    <w:bookmarkEnd w:id="809"/>
    <w:bookmarkEnd w:id="810"/>
    <w:bookmarkEnd w:id="811"/>
    <w:bookmarkEnd w:id="812"/>
    <w:bookmarkEnd w:id="813"/>
    <w:bookmarkEnd w:id="814"/>
    <w:bookmarkEnd w:id="815"/>
    <w:p>
      <w:pPr>
        <w:spacing w:line="360" w:lineRule="auto"/>
        <w:ind w:firstLine="420" w:firstLineChars="200"/>
        <w:jc w:val="left"/>
        <w:rPr>
          <w:rFonts w:ascii="宋体" w:hAnsi="宋体"/>
          <w:szCs w:val="21"/>
        </w:rPr>
      </w:pPr>
      <w:r>
        <w:rPr>
          <w:rFonts w:hint="eastAsia" w:ascii="宋体" w:hAnsi="宋体"/>
          <w:szCs w:val="21"/>
        </w:rPr>
        <w:t>9</w:t>
      </w:r>
      <w:bookmarkStart w:id="816" w:name="_Toc297123535"/>
      <w:bookmarkStart w:id="817" w:name="_Toc304295561"/>
      <w:bookmarkStart w:id="818" w:name="_Toc300934984"/>
      <w:bookmarkStart w:id="819" w:name="_Toc297216194"/>
      <w:bookmarkStart w:id="820" w:name="_Toc312678023"/>
      <w:bookmarkStart w:id="821" w:name="_Toc312677497"/>
      <w:bookmarkStart w:id="822" w:name="_Toc303539141"/>
      <w:bookmarkStart w:id="823" w:name="_Toc318581174"/>
      <w:r>
        <w:rPr>
          <w:rFonts w:hint="eastAsia" w:ascii="宋体" w:hAnsi="宋体"/>
          <w:szCs w:val="21"/>
        </w:rPr>
        <w:t>.1.2 试验设备</w:t>
      </w:r>
    </w:p>
    <w:p>
      <w:pPr>
        <w:spacing w:line="360" w:lineRule="auto"/>
        <w:ind w:firstLine="420" w:firstLineChars="200"/>
        <w:jc w:val="left"/>
        <w:rPr>
          <w:rFonts w:ascii="宋体" w:hAnsi="宋体"/>
          <w:szCs w:val="21"/>
        </w:rPr>
      </w:pPr>
      <w:r>
        <w:rPr>
          <w:rFonts w:hint="eastAsia" w:ascii="宋体" w:hAnsi="宋体"/>
          <w:szCs w:val="21"/>
        </w:rPr>
        <w:t>施工现场需要配置的试验场所：</w:t>
      </w:r>
      <w:bookmarkEnd w:id="816"/>
      <w:bookmarkEnd w:id="817"/>
      <w:bookmarkEnd w:id="818"/>
      <w:bookmarkEnd w:id="819"/>
      <w:bookmarkEnd w:id="820"/>
      <w:bookmarkEnd w:id="821"/>
      <w:bookmarkEnd w:id="822"/>
      <w:bookmarkStart w:id="824" w:name="_Toc312677498"/>
      <w:bookmarkStart w:id="825" w:name="_Toc300934985"/>
      <w:bookmarkStart w:id="826" w:name="_Toc304295562"/>
      <w:bookmarkStart w:id="827" w:name="_Toc297123536"/>
      <w:bookmarkStart w:id="828" w:name="_Toc312678024"/>
      <w:bookmarkStart w:id="829" w:name="_Toc297216195"/>
      <w:bookmarkStart w:id="830" w:name="_Toc303539142"/>
      <w:r>
        <w:rPr>
          <w:rFonts w:hint="eastAsia" w:ascii="宋体" w:hAnsi="宋体"/>
          <w:szCs w:val="21"/>
          <w:u w:val="single"/>
        </w:rPr>
        <w:t>满足工程施工的需要</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施工现场需要配备的试验设备：</w:t>
      </w:r>
      <w:r>
        <w:rPr>
          <w:rFonts w:hint="eastAsia" w:ascii="宋体" w:hAnsi="宋体"/>
          <w:szCs w:val="21"/>
          <w:u w:val="single"/>
        </w:rPr>
        <w:t>满足工程施工的需要</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施工现场需要具备的其他试验条件：</w:t>
      </w:r>
      <w:r>
        <w:rPr>
          <w:rFonts w:hint="eastAsia" w:ascii="宋体" w:hAnsi="宋体"/>
          <w:szCs w:val="21"/>
          <w:u w:val="single"/>
        </w:rPr>
        <w:t xml:space="preserve">        </w:t>
      </w:r>
      <w:r>
        <w:rPr>
          <w:rFonts w:hint="eastAsia" w:ascii="宋体" w:hAnsi="宋体"/>
          <w:szCs w:val="21"/>
        </w:rPr>
        <w:t>。</w:t>
      </w:r>
    </w:p>
    <w:p>
      <w:pPr>
        <w:pStyle w:val="8"/>
        <w:spacing w:before="0" w:after="0" w:line="360" w:lineRule="auto"/>
        <w:ind w:firstLine="422" w:firstLineChars="200"/>
        <w:rPr>
          <w:sz w:val="21"/>
          <w:szCs w:val="21"/>
        </w:rPr>
      </w:pPr>
      <w:bookmarkStart w:id="831" w:name="_Toc532375633"/>
      <w:bookmarkStart w:id="832" w:name="_Toc532377369"/>
      <w:r>
        <w:rPr>
          <w:rFonts w:hint="eastAsia"/>
          <w:sz w:val="21"/>
          <w:szCs w:val="21"/>
        </w:rPr>
        <w:t>9.4 现场工艺试验</w:t>
      </w:r>
      <w:bookmarkEnd w:id="831"/>
      <w:bookmarkEnd w:id="832"/>
    </w:p>
    <w:p>
      <w:pPr>
        <w:spacing w:line="360" w:lineRule="auto"/>
        <w:ind w:firstLine="420" w:firstLineChars="200"/>
        <w:jc w:val="left"/>
        <w:rPr>
          <w:rFonts w:ascii="宋体" w:hAnsi="宋体"/>
          <w:szCs w:val="21"/>
        </w:rPr>
      </w:pPr>
      <w:r>
        <w:rPr>
          <w:rFonts w:hint="eastAsia" w:ascii="宋体" w:hAnsi="宋体"/>
          <w:szCs w:val="21"/>
        </w:rPr>
        <w:t>本款补充9.4.1～9.4.5项：</w:t>
      </w:r>
    </w:p>
    <w:bookmarkEnd w:id="823"/>
    <w:bookmarkEnd w:id="824"/>
    <w:bookmarkEnd w:id="825"/>
    <w:bookmarkEnd w:id="826"/>
    <w:bookmarkEnd w:id="827"/>
    <w:bookmarkEnd w:id="828"/>
    <w:bookmarkEnd w:id="829"/>
    <w:bookmarkEnd w:id="830"/>
    <w:p>
      <w:pPr>
        <w:spacing w:line="360" w:lineRule="auto"/>
        <w:ind w:firstLine="420" w:firstLineChars="200"/>
        <w:jc w:val="left"/>
        <w:rPr>
          <w:rFonts w:ascii="宋体" w:hAnsi="宋体"/>
          <w:szCs w:val="21"/>
        </w:rPr>
      </w:pPr>
      <w:r>
        <w:rPr>
          <w:rFonts w:hint="eastAsia" w:ascii="宋体" w:hAnsi="宋体"/>
          <w:szCs w:val="21"/>
        </w:rPr>
        <w:t>9.4.1一般检验试验：</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根据《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实施前，由发包人、承包人和第三方检测试验机构签订三方合同，第三方检测试验机构分别向承包人和发包人出具相应的检测试验报告。根据渝建〔2015〕420号文和有关施工规范、验收标准及施工图的规定或要求，所做的上述检测试验所需的试件取样、制作、送检，试件制作需要提供的材料以及检测、试验的配合工作由承包人负责完成并承担由此产生的所有相关费用。</w:t>
      </w:r>
    </w:p>
    <w:p>
      <w:pPr>
        <w:spacing w:line="360" w:lineRule="auto"/>
        <w:ind w:firstLine="420" w:firstLineChars="200"/>
        <w:jc w:val="left"/>
        <w:rPr>
          <w:rFonts w:ascii="宋体" w:hAnsi="宋体"/>
          <w:szCs w:val="21"/>
        </w:rPr>
      </w:pPr>
      <w:r>
        <w:rPr>
          <w:rFonts w:hint="eastAsia" w:ascii="宋体" w:hAnsi="宋体"/>
          <w:szCs w:val="21"/>
        </w:rPr>
        <w:t>9.4.2特殊检验试验：</w:t>
      </w:r>
    </w:p>
    <w:p>
      <w:pPr>
        <w:spacing w:line="360" w:lineRule="auto"/>
        <w:ind w:firstLine="420" w:firstLineChars="200"/>
        <w:jc w:val="left"/>
        <w:rPr>
          <w:rFonts w:ascii="宋体" w:hAnsi="宋体"/>
          <w:szCs w:val="21"/>
        </w:rPr>
      </w:pPr>
      <w:r>
        <w:rPr>
          <w:rFonts w:hint="eastAsia" w:ascii="宋体" w:hAnsi="宋体"/>
          <w:szCs w:val="21"/>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渝建〔2015〕420号文的规定，均由发包人委托相应的第三方检测试验机构进行检测，所发生的特殊检验试验费由发包人承担，不包含在合同价格中。</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发包人委托的第三方检测试验机构检测试验的试件所需的材料、取样、送检及相关配合工作由承包人负责完成并承担由此产生的所有相关费用。</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（2）施工措施的检测、试验：因施工措施需要而做的相关检测、试验由承包人负责实施，其费用由承包人承担。</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9.4.3专项检测：</w:t>
      </w:r>
      <w:r>
        <w:rPr>
          <w:rFonts w:hint="eastAsia" w:ascii="宋体" w:hAnsi="宋体"/>
          <w:szCs w:val="21"/>
          <w:u w:val="single"/>
        </w:rPr>
        <w:t xml:space="preserve">       </w:t>
      </w:r>
      <w:r>
        <w:rPr>
          <w:rFonts w:hint="eastAsia" w:ascii="宋体" w:hAnsi="宋体"/>
          <w:szCs w:val="21"/>
        </w:rPr>
        <w:t>。</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9.4.4若因承包人取样、制样、送检及相关配合不及时而导致工程的工期和费用增加，影响的工期不予延长，增加费用由承包人承担。</w:t>
      </w:r>
    </w:p>
    <w:p>
      <w:pPr>
        <w:tabs>
          <w:tab w:val="left" w:pos="711"/>
          <w:tab w:val="left" w:pos="2580"/>
        </w:tabs>
        <w:spacing w:line="360" w:lineRule="auto"/>
        <w:ind w:firstLine="420" w:firstLineChars="200"/>
        <w:jc w:val="left"/>
        <w:textAlignment w:val="baseline"/>
        <w:rPr>
          <w:rFonts w:ascii="宋体" w:hAnsi="宋体"/>
          <w:szCs w:val="21"/>
          <w:u w:val="single"/>
        </w:rPr>
      </w:pPr>
      <w:r>
        <w:rPr>
          <w:rFonts w:hint="eastAsia" w:ascii="宋体" w:hAnsi="宋体"/>
          <w:szCs w:val="21"/>
        </w:rPr>
        <w:t>9.4.5检测试验不合格的项目，其缺陷处理和复测费用由承包人承担，工期不予延长。</w:t>
      </w:r>
    </w:p>
    <w:bookmarkEnd w:id="669"/>
    <w:bookmarkEnd w:id="670"/>
    <w:bookmarkEnd w:id="671"/>
    <w:bookmarkEnd w:id="672"/>
    <w:bookmarkEnd w:id="673"/>
    <w:bookmarkEnd w:id="674"/>
    <w:bookmarkEnd w:id="675"/>
    <w:bookmarkEnd w:id="676"/>
    <w:bookmarkEnd w:id="677"/>
    <w:bookmarkEnd w:id="678"/>
    <w:bookmarkEnd w:id="679"/>
    <w:bookmarkEnd w:id="680"/>
    <w:bookmarkEnd w:id="681"/>
    <w:p>
      <w:pPr>
        <w:pStyle w:val="7"/>
        <w:spacing w:before="120" w:beforeLines="50" w:after="120" w:afterLines="50" w:line="360" w:lineRule="auto"/>
        <w:rPr>
          <w:sz w:val="21"/>
          <w:szCs w:val="21"/>
        </w:rPr>
      </w:pPr>
      <w:bookmarkStart w:id="833" w:name="_Toc532377370"/>
      <w:bookmarkStart w:id="834" w:name="_Toc532375634"/>
      <w:bookmarkStart w:id="835" w:name="_Toc267251482"/>
      <w:bookmarkStart w:id="836" w:name="_Toc267251490"/>
      <w:bookmarkStart w:id="837" w:name="_Toc267251486"/>
      <w:bookmarkStart w:id="838" w:name="_Toc267251484"/>
      <w:bookmarkStart w:id="839" w:name="_Hlk524298112"/>
      <w:bookmarkStart w:id="840" w:name="_Toc267251485"/>
      <w:bookmarkStart w:id="841" w:name="_Toc267251488"/>
      <w:bookmarkStart w:id="842" w:name="_Toc267251489"/>
      <w:bookmarkStart w:id="843" w:name="_Toc267251493"/>
      <w:bookmarkStart w:id="844" w:name="_Toc267251513"/>
      <w:bookmarkStart w:id="845" w:name="_Toc267251508"/>
      <w:bookmarkStart w:id="846" w:name="_Toc267251502"/>
      <w:bookmarkStart w:id="847" w:name="_Toc267251501"/>
      <w:bookmarkStart w:id="848" w:name="_Toc267251503"/>
      <w:bookmarkStart w:id="849" w:name="_Toc267251496"/>
      <w:bookmarkStart w:id="850" w:name="_Toc267251514"/>
      <w:bookmarkStart w:id="851" w:name="_Toc267251510"/>
      <w:bookmarkStart w:id="852" w:name="_Toc267251492"/>
      <w:bookmarkStart w:id="853" w:name="_Toc267251504"/>
      <w:bookmarkStart w:id="854" w:name="_Toc267251494"/>
      <w:bookmarkStart w:id="855" w:name="_Toc267251495"/>
      <w:bookmarkStart w:id="856" w:name="_Toc267251515"/>
      <w:bookmarkStart w:id="857" w:name="_Toc267251497"/>
      <w:bookmarkStart w:id="858" w:name="_Toc267251511"/>
      <w:bookmarkStart w:id="859" w:name="_Toc267251507"/>
      <w:bookmarkStart w:id="860" w:name="_Toc267251491"/>
      <w:bookmarkStart w:id="861" w:name="_Toc267251499"/>
      <w:bookmarkStart w:id="862" w:name="_Toc267251498"/>
      <w:bookmarkStart w:id="863" w:name="_Toc267251506"/>
      <w:bookmarkStart w:id="864" w:name="_Toc267251509"/>
      <w:r>
        <w:rPr>
          <w:rFonts w:hint="eastAsia"/>
          <w:sz w:val="21"/>
          <w:szCs w:val="21"/>
        </w:rPr>
        <w:t>1</w:t>
      </w:r>
      <w:bookmarkStart w:id="865" w:name="_Toc300934989"/>
      <w:bookmarkStart w:id="866" w:name="_Toc304295566"/>
      <w:bookmarkStart w:id="867" w:name="_Toc292559398"/>
      <w:bookmarkStart w:id="868" w:name="_Toc296944532"/>
      <w:bookmarkStart w:id="869" w:name="_Toc296346694"/>
      <w:bookmarkStart w:id="870" w:name="_Toc297216199"/>
      <w:bookmarkStart w:id="871" w:name="_Toc296891233"/>
      <w:bookmarkStart w:id="872" w:name="_Toc296503193"/>
      <w:bookmarkStart w:id="873" w:name="_Toc297120493"/>
      <w:bookmarkStart w:id="874" w:name="_Toc297048379"/>
      <w:bookmarkStart w:id="875" w:name="_Toc296347192"/>
      <w:bookmarkStart w:id="876" w:name="_Toc296891021"/>
      <w:bookmarkStart w:id="877" w:name="_Toc292559903"/>
      <w:bookmarkStart w:id="878" w:name="_Toc303539146"/>
      <w:bookmarkStart w:id="879" w:name="_Toc297123540"/>
      <w:bookmarkStart w:id="880" w:name="_Toc312677499"/>
      <w:bookmarkStart w:id="881" w:name="_Toc312678025"/>
      <w:bookmarkStart w:id="882" w:name="_Toc267251437"/>
      <w:bookmarkStart w:id="883" w:name="_Toc267251435"/>
      <w:bookmarkStart w:id="884" w:name="_Toc267251433"/>
      <w:bookmarkStart w:id="885" w:name="_Toc267251439"/>
      <w:bookmarkStart w:id="886" w:name="_Toc267251441"/>
      <w:bookmarkStart w:id="887" w:name="_Toc267251440"/>
      <w:r>
        <w:rPr>
          <w:rFonts w:hint="eastAsia"/>
          <w:sz w:val="21"/>
          <w:szCs w:val="21"/>
        </w:rPr>
        <w:t>0. 变更</w:t>
      </w:r>
      <w:bookmarkEnd w:id="833"/>
      <w:bookmarkEnd w:id="83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bookmarkEnd w:id="880"/>
    <w:bookmarkEnd w:id="881"/>
    <w:p>
      <w:pPr>
        <w:pStyle w:val="8"/>
        <w:spacing w:before="0" w:after="0" w:line="360" w:lineRule="auto"/>
        <w:ind w:firstLine="422" w:firstLineChars="200"/>
        <w:rPr>
          <w:sz w:val="21"/>
          <w:szCs w:val="21"/>
        </w:rPr>
      </w:pPr>
      <w:bookmarkStart w:id="888" w:name="_Toc532377371"/>
      <w:bookmarkStart w:id="889" w:name="_Toc532375635"/>
      <w:r>
        <w:rPr>
          <w:rFonts w:hint="eastAsia"/>
          <w:sz w:val="21"/>
          <w:szCs w:val="21"/>
        </w:rPr>
        <w:t>1</w:t>
      </w:r>
      <w:bookmarkStart w:id="890" w:name="_Toc297120494"/>
      <w:bookmarkStart w:id="891" w:name="_Toc297123541"/>
      <w:bookmarkStart w:id="892" w:name="_Toc312677500"/>
      <w:bookmarkStart w:id="893" w:name="_Toc303539147"/>
      <w:bookmarkStart w:id="894" w:name="_Toc296347193"/>
      <w:bookmarkStart w:id="895" w:name="_Toc300934990"/>
      <w:bookmarkStart w:id="896" w:name="_Toc297216200"/>
      <w:bookmarkStart w:id="897" w:name="_Toc312678026"/>
      <w:bookmarkStart w:id="898" w:name="_Toc292559904"/>
      <w:bookmarkStart w:id="899" w:name="_Toc296944533"/>
      <w:bookmarkStart w:id="900" w:name="_Toc296891234"/>
      <w:bookmarkStart w:id="901" w:name="_Toc304295567"/>
      <w:bookmarkStart w:id="902" w:name="_Toc296503194"/>
      <w:bookmarkStart w:id="903" w:name="_Toc296346695"/>
      <w:bookmarkStart w:id="904" w:name="_Toc296891022"/>
      <w:bookmarkStart w:id="905" w:name="_Toc292559399"/>
      <w:bookmarkStart w:id="906" w:name="_Toc297048380"/>
      <w:r>
        <w:rPr>
          <w:rFonts w:hint="eastAsia"/>
          <w:sz w:val="21"/>
          <w:szCs w:val="21"/>
        </w:rPr>
        <w:t>0.1变更的范围</w:t>
      </w:r>
      <w:bookmarkEnd w:id="888"/>
      <w:bookmarkEnd w:id="889"/>
    </w:p>
    <w:p>
      <w:pPr>
        <w:spacing w:line="360" w:lineRule="auto"/>
        <w:ind w:firstLine="420" w:firstLineChars="200"/>
        <w:jc w:val="left"/>
        <w:rPr>
          <w:rFonts w:ascii="宋体" w:hAnsi="宋体"/>
          <w:szCs w:val="21"/>
        </w:rPr>
      </w:pPr>
      <w:r>
        <w:rPr>
          <w:rFonts w:hint="eastAsia" w:ascii="宋体" w:hAnsi="宋体"/>
          <w:szCs w:val="21"/>
        </w:rPr>
        <w:t>关于变更范围的约定：</w:t>
      </w:r>
    </w:p>
    <w:p>
      <w:pPr>
        <w:spacing w:line="360" w:lineRule="auto"/>
        <w:ind w:firstLine="420" w:firstLineChars="200"/>
        <w:jc w:val="left"/>
        <w:rPr>
          <w:rFonts w:ascii="宋体" w:hAnsi="宋体"/>
          <w:szCs w:val="21"/>
        </w:rPr>
      </w:pPr>
      <w:r>
        <w:rPr>
          <w:rFonts w:hint="eastAsia" w:ascii="宋体" w:hAnsi="宋体"/>
          <w:szCs w:val="21"/>
        </w:rPr>
        <w:t>（1）增加或减少合同中任何工作，或追加额外的工作；</w:t>
      </w:r>
    </w:p>
    <w:p>
      <w:pPr>
        <w:spacing w:line="360" w:lineRule="auto"/>
        <w:ind w:firstLine="420" w:firstLineChars="200"/>
        <w:jc w:val="left"/>
        <w:rPr>
          <w:rFonts w:ascii="宋体" w:hAnsi="宋体"/>
          <w:szCs w:val="21"/>
        </w:rPr>
      </w:pPr>
      <w:r>
        <w:rPr>
          <w:rFonts w:hint="eastAsia" w:ascii="宋体" w:hAnsi="宋体"/>
          <w:szCs w:val="21"/>
        </w:rPr>
        <w:t>（2）取消合同中任何工作；</w:t>
      </w:r>
    </w:p>
    <w:p>
      <w:pPr>
        <w:spacing w:line="360" w:lineRule="auto"/>
        <w:ind w:firstLine="420" w:firstLineChars="200"/>
        <w:jc w:val="left"/>
        <w:rPr>
          <w:rFonts w:ascii="宋体" w:hAnsi="宋体"/>
          <w:szCs w:val="21"/>
        </w:rPr>
      </w:pPr>
      <w:r>
        <w:rPr>
          <w:rFonts w:hint="eastAsia" w:ascii="宋体" w:hAnsi="宋体"/>
          <w:szCs w:val="21"/>
        </w:rPr>
        <w:t>（3）改变合同中任何工作的质量标准或其他特性；</w:t>
      </w:r>
    </w:p>
    <w:p>
      <w:pPr>
        <w:spacing w:line="360" w:lineRule="auto"/>
        <w:ind w:firstLine="420" w:firstLineChars="200"/>
        <w:jc w:val="left"/>
        <w:rPr>
          <w:rFonts w:ascii="宋体" w:hAnsi="宋体"/>
          <w:szCs w:val="21"/>
        </w:rPr>
      </w:pPr>
      <w:r>
        <w:rPr>
          <w:rFonts w:hint="eastAsia" w:ascii="宋体" w:hAnsi="宋体"/>
          <w:szCs w:val="21"/>
        </w:rPr>
        <w:t>（4）改变工程的基线、标高、位置和尺寸；</w:t>
      </w:r>
    </w:p>
    <w:p>
      <w:pPr>
        <w:spacing w:line="360" w:lineRule="auto"/>
        <w:ind w:firstLine="420" w:firstLineChars="200"/>
        <w:jc w:val="left"/>
        <w:rPr>
          <w:rFonts w:ascii="宋体" w:hAnsi="宋体"/>
          <w:szCs w:val="21"/>
        </w:rPr>
      </w:pPr>
      <w:r>
        <w:rPr>
          <w:rFonts w:hint="eastAsia" w:ascii="宋体" w:hAnsi="宋体"/>
          <w:szCs w:val="21"/>
        </w:rPr>
        <w:t>（5）适用于工程的标准和（或）规范变化导致需要对工程进行改变，且该改变导致工期和（或）费用变化的。</w:t>
      </w:r>
    </w:p>
    <w:p>
      <w:pPr>
        <w:spacing w:line="360" w:lineRule="auto"/>
        <w:ind w:firstLine="420" w:firstLineChars="200"/>
        <w:jc w:val="left"/>
        <w:rPr>
          <w:rFonts w:ascii="宋体" w:hAnsi="宋体"/>
          <w:szCs w:val="21"/>
        </w:rPr>
      </w:pPr>
      <w:r>
        <w:rPr>
          <w:rFonts w:hint="eastAsia" w:ascii="宋体" w:hAnsi="宋体"/>
          <w:szCs w:val="21"/>
        </w:rPr>
        <w:t>（6）勘察设计变更。</w:t>
      </w:r>
    </w:p>
    <w:p>
      <w:pPr>
        <w:spacing w:line="360" w:lineRule="auto"/>
        <w:ind w:firstLine="420" w:firstLineChars="200"/>
        <w:jc w:val="left"/>
        <w:rPr>
          <w:rFonts w:ascii="宋体" w:hAnsi="宋体"/>
          <w:szCs w:val="21"/>
        </w:rPr>
      </w:pPr>
      <w:r>
        <w:rPr>
          <w:rFonts w:hint="eastAsia" w:ascii="宋体" w:hAnsi="宋体"/>
          <w:szCs w:val="21"/>
        </w:rPr>
        <w:t>（7）实施内容变更，包括因设计变更和非设计变更引起的实施地点、投资规模、结构型式、采购数量、服务内容等进行的调整，以及因此导致的合同价格、工期变更。</w:t>
      </w:r>
    </w:p>
    <w:p>
      <w:pPr>
        <w:spacing w:line="360" w:lineRule="auto"/>
        <w:ind w:firstLine="420" w:firstLineChars="200"/>
        <w:jc w:val="left"/>
        <w:rPr>
          <w:rFonts w:ascii="宋体" w:hAnsi="宋体"/>
          <w:szCs w:val="21"/>
        </w:rPr>
      </w:pPr>
      <w:r>
        <w:rPr>
          <w:rFonts w:hint="eastAsia" w:ascii="宋体" w:hAnsi="宋体"/>
          <w:szCs w:val="21"/>
        </w:rPr>
        <w:t>（8）项目管理人员变更。</w:t>
      </w:r>
    </w:p>
    <w:p>
      <w:pPr>
        <w:spacing w:line="360" w:lineRule="auto"/>
        <w:ind w:firstLine="420" w:firstLineChars="200"/>
        <w:jc w:val="left"/>
        <w:rPr>
          <w:rFonts w:ascii="宋体" w:hAnsi="宋体"/>
          <w:szCs w:val="21"/>
        </w:rPr>
      </w:pPr>
      <w:r>
        <w:rPr>
          <w:rFonts w:hint="eastAsia" w:ascii="宋体" w:hAnsi="宋体"/>
          <w:szCs w:val="21"/>
        </w:rPr>
        <w:t>（9）因人工、原材料等价格变化导致的合同总价变更。</w:t>
      </w:r>
    </w:p>
    <w:p>
      <w:pPr>
        <w:spacing w:line="360" w:lineRule="auto"/>
        <w:ind w:firstLine="420" w:firstLineChars="200"/>
        <w:jc w:val="left"/>
        <w:rPr>
          <w:rFonts w:ascii="宋体" w:hAnsi="宋体"/>
          <w:szCs w:val="21"/>
        </w:rPr>
      </w:pPr>
      <w:r>
        <w:rPr>
          <w:rFonts w:hint="eastAsia" w:ascii="宋体" w:hAnsi="宋体"/>
          <w:szCs w:val="21"/>
        </w:rPr>
        <w:t>（10）非实施内容变化导致的工期变更</w:t>
      </w:r>
    </w:p>
    <w:p>
      <w:pPr>
        <w:spacing w:line="360" w:lineRule="auto"/>
        <w:ind w:firstLine="420" w:firstLineChars="200"/>
        <w:jc w:val="left"/>
        <w:rPr>
          <w:rFonts w:ascii="宋体" w:hAnsi="宋体"/>
          <w:szCs w:val="21"/>
        </w:rPr>
      </w:pPr>
      <w:r>
        <w:rPr>
          <w:rFonts w:hint="eastAsia" w:ascii="宋体" w:hAnsi="宋体"/>
          <w:szCs w:val="21"/>
        </w:rPr>
        <w:t>（11）</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在重庆市信用信息共享平台进行信息公开。项目合同变更未获得通过的，发包人和承包人均不得擅自变更原合同约定事项，且不得就同一理由同一事项再提出变更。</w:t>
      </w:r>
    </w:p>
    <w:p>
      <w:pPr>
        <w:spacing w:line="360" w:lineRule="auto"/>
        <w:ind w:firstLine="420" w:firstLineChars="200"/>
        <w:jc w:val="left"/>
        <w:rPr>
          <w:rFonts w:ascii="宋体" w:hAnsi="宋体"/>
          <w:szCs w:val="21"/>
          <w:u w:val="single"/>
        </w:rPr>
      </w:pPr>
      <w:r>
        <w:rPr>
          <w:rFonts w:hint="eastAsia" w:ascii="宋体" w:hAnsi="宋体"/>
          <w:szCs w:val="21"/>
        </w:rPr>
        <w:t>承包人对其提供的材料、工程设备、施工、无负荷试车、热负荷试车及图纸参数存在的缺陷，自费修正、调整和完善，不属于变更。</w:t>
      </w:r>
    </w:p>
    <w:p>
      <w:pPr>
        <w:pStyle w:val="8"/>
        <w:spacing w:before="0" w:after="0" w:line="360" w:lineRule="auto"/>
        <w:ind w:firstLine="422" w:firstLineChars="200"/>
        <w:rPr>
          <w:sz w:val="21"/>
          <w:szCs w:val="21"/>
        </w:rPr>
      </w:pPr>
      <w:bookmarkStart w:id="907" w:name="_Toc351203569"/>
      <w:bookmarkStart w:id="908" w:name="_Toc532377372"/>
      <w:bookmarkStart w:id="909" w:name="_Toc532375636"/>
      <w:r>
        <w:rPr>
          <w:rFonts w:hint="eastAsia"/>
          <w:sz w:val="21"/>
          <w:szCs w:val="21"/>
        </w:rPr>
        <w:t>1</w:t>
      </w:r>
      <w:bookmarkStart w:id="910" w:name="_Toc296503085"/>
      <w:bookmarkStart w:id="911" w:name="_Toc337558789"/>
      <w:bookmarkStart w:id="912" w:name="_Toc296346586"/>
      <w:r>
        <w:rPr>
          <w:rFonts w:hint="eastAsia"/>
          <w:sz w:val="21"/>
          <w:szCs w:val="21"/>
        </w:rPr>
        <w:t>0.2变更权</w:t>
      </w:r>
      <w:bookmarkEnd w:id="907"/>
      <w:bookmarkEnd w:id="908"/>
      <w:bookmarkEnd w:id="909"/>
    </w:p>
    <w:bookmarkEnd w:id="910"/>
    <w:bookmarkEnd w:id="911"/>
    <w:bookmarkEnd w:id="912"/>
    <w:p>
      <w:pPr>
        <w:spacing w:line="360" w:lineRule="auto"/>
        <w:ind w:firstLine="420" w:firstLineChars="200"/>
        <w:jc w:val="left"/>
        <w:rPr>
          <w:rFonts w:ascii="宋体" w:hAnsi="宋体"/>
          <w:szCs w:val="21"/>
        </w:rPr>
      </w:pPr>
      <w:r>
        <w:rPr>
          <w:rFonts w:hint="eastAsia" w:ascii="宋体" w:hAnsi="宋体"/>
          <w:szCs w:val="21"/>
        </w:rPr>
        <w:t>10.2.1发包人和监理人提出变更</w:t>
      </w:r>
    </w:p>
    <w:p>
      <w:pPr>
        <w:spacing w:line="360" w:lineRule="auto"/>
        <w:ind w:firstLine="420" w:firstLineChars="200"/>
        <w:jc w:val="left"/>
        <w:rPr>
          <w:rFonts w:ascii="宋体" w:hAnsi="宋体"/>
          <w:szCs w:val="21"/>
        </w:rPr>
      </w:pPr>
      <w:r>
        <w:rPr>
          <w:rFonts w:hint="eastAsia" w:ascii="宋体" w:hAnsi="宋体"/>
          <w:szCs w:val="21"/>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pPr>
        <w:spacing w:line="360" w:lineRule="auto"/>
        <w:ind w:firstLine="420" w:firstLineChars="200"/>
        <w:jc w:val="left"/>
        <w:rPr>
          <w:rFonts w:ascii="宋体" w:hAnsi="宋体"/>
          <w:szCs w:val="21"/>
          <w:u w:val="single"/>
        </w:rPr>
      </w:pPr>
      <w:r>
        <w:rPr>
          <w:rFonts w:hint="eastAsia" w:ascii="宋体" w:hAnsi="宋体"/>
          <w:szCs w:val="21"/>
        </w:rPr>
        <w:t>涉及设计变更的，应由设计人提供变更后的图纸和说明，交由发包人同意后由监理人以书面形式发出。如变更超过原设计标准或批准的建设规模时，由发包人及时办理规划、设计变更等审批手续。</w:t>
      </w:r>
    </w:p>
    <w:p>
      <w:pPr>
        <w:spacing w:line="360" w:lineRule="auto"/>
        <w:ind w:firstLine="420" w:firstLineChars="200"/>
        <w:jc w:val="left"/>
        <w:rPr>
          <w:rFonts w:ascii="宋体" w:hAnsi="宋体"/>
          <w:szCs w:val="21"/>
        </w:rPr>
      </w:pPr>
      <w:r>
        <w:rPr>
          <w:rFonts w:hint="eastAsia" w:ascii="宋体" w:hAnsi="宋体"/>
          <w:szCs w:val="21"/>
        </w:rPr>
        <w:t>若出现重大设计变更，变更后的内容超出承包人资质或能力范围的，发包人将另行依法招标选择承包单位，无需征得承包人同意。</w:t>
      </w:r>
    </w:p>
    <w:p>
      <w:pPr>
        <w:spacing w:line="360" w:lineRule="auto"/>
        <w:ind w:firstLine="420" w:firstLineChars="200"/>
        <w:jc w:val="left"/>
        <w:rPr>
          <w:rFonts w:ascii="宋体" w:hAnsi="宋体"/>
          <w:szCs w:val="21"/>
        </w:rPr>
      </w:pPr>
      <w:r>
        <w:rPr>
          <w:rFonts w:hint="eastAsia" w:ascii="宋体" w:hAnsi="宋体"/>
          <w:szCs w:val="21"/>
        </w:rPr>
        <w:t>10.2.2 承包人提出变更建议</w:t>
      </w:r>
    </w:p>
    <w:p>
      <w:pPr>
        <w:spacing w:line="360" w:lineRule="auto"/>
        <w:ind w:firstLine="420" w:firstLineChars="200"/>
        <w:jc w:val="left"/>
        <w:rPr>
          <w:rFonts w:ascii="宋体" w:hAnsi="宋体"/>
          <w:szCs w:val="21"/>
        </w:rPr>
      </w:pPr>
      <w:r>
        <w:rPr>
          <w:rFonts w:hint="eastAsia" w:ascii="宋体" w:hAnsi="宋体"/>
          <w:szCs w:val="21"/>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hAnsi="宋体"/>
          <w:szCs w:val="21"/>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hAnsi="宋体"/>
          <w:szCs w:val="21"/>
        </w:rPr>
        <w:t>。</w:t>
      </w:r>
    </w:p>
    <w:p>
      <w:pPr>
        <w:autoSpaceDE w:val="0"/>
        <w:autoSpaceDN w:val="0"/>
        <w:spacing w:line="360" w:lineRule="auto"/>
        <w:ind w:firstLine="420" w:firstLineChars="200"/>
        <w:jc w:val="left"/>
        <w:rPr>
          <w:rFonts w:ascii="宋体" w:hAnsi="宋体"/>
          <w:szCs w:val="21"/>
          <w:u w:val="single"/>
        </w:rPr>
      </w:pPr>
      <w:r>
        <w:rPr>
          <w:rFonts w:hint="eastAsia" w:ascii="宋体" w:hAnsi="宋体"/>
          <w:szCs w:val="21"/>
        </w:rPr>
        <w:t>如果发包人对承包人已实施的施工项目在发出重大设计变更之前要求承包人提出一份建议，那么，承包人应尽快提出：</w:t>
      </w:r>
    </w:p>
    <w:p>
      <w:pPr>
        <w:autoSpaceDE w:val="0"/>
        <w:autoSpaceDN w:val="0"/>
        <w:spacing w:line="360" w:lineRule="auto"/>
        <w:ind w:firstLine="420" w:firstLineChars="200"/>
        <w:jc w:val="left"/>
        <w:rPr>
          <w:rFonts w:ascii="宋体" w:hAnsi="宋体"/>
          <w:szCs w:val="21"/>
        </w:rPr>
      </w:pPr>
      <w:r>
        <w:rPr>
          <w:rFonts w:hint="eastAsia" w:ascii="宋体" w:hAnsi="宋体"/>
          <w:szCs w:val="21"/>
          <w:u w:val="single"/>
        </w:rPr>
        <w:t>（1）对所提方案和（或）待做工作及其实施计划的说明</w:t>
      </w:r>
      <w:r>
        <w:rPr>
          <w:rFonts w:hint="eastAsia" w:ascii="宋体" w:hAnsi="宋体"/>
          <w:szCs w:val="21"/>
        </w:rPr>
        <w:t>；</w:t>
      </w:r>
    </w:p>
    <w:p>
      <w:pPr>
        <w:autoSpaceDE w:val="0"/>
        <w:autoSpaceDN w:val="0"/>
        <w:spacing w:line="360" w:lineRule="auto"/>
        <w:ind w:firstLine="420" w:firstLineChars="200"/>
        <w:jc w:val="left"/>
        <w:rPr>
          <w:rFonts w:ascii="宋体" w:hAnsi="宋体"/>
          <w:szCs w:val="21"/>
        </w:rPr>
      </w:pPr>
      <w:r>
        <w:rPr>
          <w:rFonts w:hint="eastAsia" w:ascii="宋体" w:hAnsi="宋体"/>
          <w:szCs w:val="21"/>
          <w:u w:val="single"/>
        </w:rPr>
        <w:t>（2）承包人按照对工程进度计划进行必要修改的建议</w:t>
      </w:r>
      <w:r>
        <w:rPr>
          <w:rFonts w:hint="eastAsia" w:ascii="宋体" w:hAnsi="宋体"/>
          <w:szCs w:val="21"/>
        </w:rPr>
        <w:t>；</w:t>
      </w:r>
    </w:p>
    <w:p>
      <w:pPr>
        <w:autoSpaceDE w:val="0"/>
        <w:autoSpaceDN w:val="0"/>
        <w:spacing w:line="360" w:lineRule="auto"/>
        <w:ind w:firstLine="420" w:firstLineChars="200"/>
        <w:jc w:val="left"/>
        <w:rPr>
          <w:rFonts w:ascii="宋体" w:hAnsi="宋体"/>
          <w:szCs w:val="21"/>
        </w:rPr>
      </w:pPr>
      <w:r>
        <w:rPr>
          <w:rFonts w:hint="eastAsia" w:ascii="宋体" w:hAnsi="宋体"/>
          <w:szCs w:val="21"/>
          <w:u w:val="single"/>
        </w:rPr>
        <w:t>（3）承包人发生较大返工损失增加费用的建议</w:t>
      </w:r>
      <w:r>
        <w:rPr>
          <w:rFonts w:hint="eastAsia" w:ascii="宋体" w:hAnsi="宋体"/>
          <w:szCs w:val="21"/>
        </w:rPr>
        <w:t>。</w:t>
      </w:r>
    </w:p>
    <w:p>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发包人在收到上述建议书后，应尽快给予批准、否决或提出意见</w:t>
      </w:r>
      <w:r>
        <w:rPr>
          <w:rFonts w:hint="eastAsia" w:ascii="宋体" w:hAnsi="宋体"/>
          <w:szCs w:val="21"/>
        </w:rPr>
        <w:t>。</w:t>
      </w:r>
    </w:p>
    <w:p>
      <w:pPr>
        <w:pStyle w:val="8"/>
        <w:spacing w:before="0" w:after="0" w:line="360" w:lineRule="auto"/>
        <w:ind w:firstLine="422" w:firstLineChars="200"/>
        <w:rPr>
          <w:sz w:val="21"/>
          <w:szCs w:val="21"/>
        </w:rPr>
      </w:pPr>
      <w:bookmarkStart w:id="913" w:name="_Toc532375637"/>
      <w:bookmarkStart w:id="914" w:name="_Toc532377373"/>
      <w:bookmarkStart w:id="915" w:name="_Hlk528928195"/>
      <w:bookmarkStart w:id="916" w:name="_Toc351203570"/>
      <w:r>
        <w:rPr>
          <w:rFonts w:hint="eastAsia"/>
          <w:sz w:val="21"/>
          <w:szCs w:val="21"/>
        </w:rPr>
        <w:t>1</w:t>
      </w:r>
      <w:bookmarkStart w:id="917" w:name="_Toc296503086"/>
      <w:bookmarkStart w:id="918" w:name="_Toc296346587"/>
      <w:bookmarkStart w:id="919" w:name="_Toc337558790"/>
      <w:r>
        <w:rPr>
          <w:rFonts w:hint="eastAsia"/>
          <w:sz w:val="21"/>
          <w:szCs w:val="21"/>
        </w:rPr>
        <w:t>0.3变更程序</w:t>
      </w:r>
      <w:bookmarkEnd w:id="913"/>
      <w:bookmarkEnd w:id="914"/>
    </w:p>
    <w:bookmarkEnd w:id="917"/>
    <w:bookmarkEnd w:id="918"/>
    <w:bookmarkEnd w:id="919"/>
    <w:p>
      <w:pPr>
        <w:autoSpaceDE w:val="0"/>
        <w:autoSpaceDN w:val="0"/>
        <w:spacing w:line="360" w:lineRule="auto"/>
        <w:ind w:firstLine="420" w:firstLineChars="200"/>
        <w:jc w:val="left"/>
        <w:rPr>
          <w:rFonts w:ascii="宋体" w:hAnsi="宋体"/>
          <w:szCs w:val="21"/>
        </w:rPr>
      </w:pPr>
      <w:bookmarkStart w:id="920" w:name="_Hlk524353972"/>
      <w:r>
        <w:rPr>
          <w:rFonts w:hint="eastAsia" w:ascii="宋体" w:hAnsi="宋体"/>
          <w:szCs w:val="21"/>
        </w:rPr>
        <w:t>10.3.3 变更执行</w:t>
      </w:r>
    </w:p>
    <w:p>
      <w:pPr>
        <w:autoSpaceDE w:val="0"/>
        <w:autoSpaceDN w:val="0"/>
        <w:spacing w:line="360" w:lineRule="auto"/>
        <w:ind w:firstLine="420" w:firstLineChars="200"/>
        <w:jc w:val="left"/>
        <w:rPr>
          <w:rFonts w:ascii="宋体" w:hAnsi="宋体"/>
          <w:szCs w:val="21"/>
        </w:rPr>
      </w:pPr>
      <w:r>
        <w:rPr>
          <w:rFonts w:hint="eastAsia" w:ascii="宋体" w:hAnsi="宋体"/>
          <w:szCs w:val="21"/>
        </w:rPr>
        <w:t>一般设计变更：承包人收到监理人下达的变更指示后，应按照监理人下达的变更指示执行，并书面说明实施该变更指示对合同价格和工期的影响，按照第10.4.1项〔变更估价原则〕约定执行。</w:t>
      </w:r>
    </w:p>
    <w:p>
      <w:pPr>
        <w:autoSpaceDE w:val="0"/>
        <w:autoSpaceDN w:val="0"/>
        <w:spacing w:line="360" w:lineRule="auto"/>
        <w:ind w:firstLine="420" w:firstLineChars="200"/>
        <w:jc w:val="left"/>
        <w:rPr>
          <w:rFonts w:ascii="宋体" w:hAnsi="宋体"/>
          <w:szCs w:val="21"/>
        </w:rPr>
      </w:pPr>
      <w:r>
        <w:rPr>
          <w:rFonts w:hint="eastAsia" w:ascii="宋体" w:hAnsi="宋体"/>
          <w:szCs w:val="21"/>
        </w:rPr>
        <w:t>重大设计变更：需经设计人、监理人和发包人三方签字认可并报相关行业部门审查同意后实施。</w:t>
      </w:r>
    </w:p>
    <w:p>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10.3.3 项增加以下内容：</w:t>
      </w:r>
    </w:p>
    <w:p>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项目的勘察设计、实施内容等作较大变更的，应当按照规定的程序报原审批部门审批；变更导致总投资超概的，应当报原投资概算核定部门核定。</w:t>
      </w:r>
    </w:p>
    <w:p>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项目管理人员变更的，应当经发包人领导班子集体决策同意，并将变更信息推送给行业主管部门。变更后的项目管理人员应当符合招标文件和行业主管部门的相关规定。</w:t>
      </w:r>
    </w:p>
    <w:p>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项目实施内容无变更，因不可抗力导致的工期变更，由发包人领导班子集体决策同意，并将变更信息推送给行业主管部门；因项目实施内容变更导致的工期变更，与项目实施内容变更一并办理。</w:t>
      </w:r>
    </w:p>
    <w:p>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项目合同变更后，增加的实施内容达到依法必须招标的规模标准的，增加的部分应当依法通过招标选择承包单位。</w:t>
      </w:r>
    </w:p>
    <w:bookmarkEnd w:id="915"/>
    <w:bookmarkEnd w:id="916"/>
    <w:bookmarkEnd w:id="920"/>
    <w:p>
      <w:pPr>
        <w:pStyle w:val="8"/>
        <w:spacing w:before="0" w:after="0" w:line="360" w:lineRule="auto"/>
        <w:ind w:firstLine="422" w:firstLineChars="200"/>
        <w:rPr>
          <w:sz w:val="21"/>
          <w:szCs w:val="21"/>
        </w:rPr>
      </w:pPr>
      <w:bookmarkStart w:id="921" w:name="_Toc532375638"/>
      <w:bookmarkStart w:id="922" w:name="_Toc532377374"/>
      <w:r>
        <w:rPr>
          <w:rFonts w:hint="eastAsia"/>
          <w:sz w:val="21"/>
          <w:szCs w:val="21"/>
        </w:rPr>
        <w:t>10.4 变更估价</w:t>
      </w:r>
      <w:bookmarkEnd w:id="921"/>
      <w:bookmarkEnd w:id="922"/>
    </w:p>
    <w:p>
      <w:pPr>
        <w:spacing w:line="360" w:lineRule="auto"/>
        <w:ind w:firstLine="420" w:firstLineChars="200"/>
        <w:jc w:val="left"/>
        <w:rPr>
          <w:rFonts w:ascii="宋体" w:hAnsi="宋体"/>
          <w:szCs w:val="21"/>
        </w:rPr>
      </w:pPr>
      <w:bookmarkStart w:id="923" w:name="_Hlk524296629"/>
      <w:r>
        <w:rPr>
          <w:rFonts w:hint="eastAsia" w:ascii="宋体" w:hAnsi="宋体"/>
          <w:szCs w:val="21"/>
        </w:rPr>
        <w:t>10.4.1 变更估价原则</w:t>
      </w:r>
    </w:p>
    <w:p>
      <w:pPr>
        <w:pStyle w:val="2"/>
        <w:spacing w:after="0" w:line="360" w:lineRule="auto"/>
        <w:ind w:firstLine="420" w:firstLineChars="200"/>
        <w:jc w:val="left"/>
        <w:rPr>
          <w:rFonts w:ascii="宋体" w:hAnsi="宋体"/>
          <w:szCs w:val="21"/>
          <w:u w:val="single"/>
        </w:rPr>
      </w:pPr>
      <w:r>
        <w:rPr>
          <w:rFonts w:hint="eastAsia" w:ascii="宋体" w:hAnsi="宋体"/>
          <w:szCs w:val="21"/>
        </w:rPr>
        <w:t>当发生工程变更时，工程量按</w:t>
      </w:r>
      <w:r>
        <w:rPr>
          <w:rFonts w:hint="eastAsia" w:ascii="宋体" w:hAnsi="宋体"/>
          <w:szCs w:val="21"/>
          <w:u w:val="single"/>
        </w:rPr>
        <w:t>招标文件</w:t>
      </w:r>
      <w:r>
        <w:rPr>
          <w:rFonts w:hint="eastAsia" w:ascii="宋体" w:hAnsi="宋体"/>
          <w:szCs w:val="21"/>
        </w:rPr>
        <w:t>规定的计算规则及已标价工程量清单规定的工程量计算规则计量，按以下办法计价：</w:t>
      </w:r>
      <w:bookmarkStart w:id="924" w:name="_Hlk524770102"/>
    </w:p>
    <w:bookmarkEnd w:id="924"/>
    <w:p>
      <w:pPr>
        <w:spacing w:line="360" w:lineRule="auto"/>
        <w:ind w:firstLine="420" w:firstLineChars="200"/>
        <w:jc w:val="left"/>
        <w:rPr>
          <w:rFonts w:ascii="宋体" w:hAnsi="宋体"/>
          <w:szCs w:val="21"/>
        </w:rPr>
      </w:pPr>
      <w:r>
        <w:rPr>
          <w:rFonts w:hint="eastAsia" w:ascii="宋体" w:hAnsi="宋体"/>
          <w:szCs w:val="21"/>
        </w:rPr>
        <w:t>10.4.1.1已标价工程量清单中有相同项目的，按照相同项目单价计算；</w:t>
      </w:r>
    </w:p>
    <w:p>
      <w:pPr>
        <w:spacing w:line="360" w:lineRule="auto"/>
        <w:ind w:firstLine="420" w:firstLineChars="200"/>
        <w:jc w:val="left"/>
        <w:rPr>
          <w:rFonts w:ascii="宋体" w:hAnsi="宋体"/>
          <w:szCs w:val="21"/>
        </w:rPr>
      </w:pPr>
      <w:r>
        <w:rPr>
          <w:rFonts w:hint="eastAsia" w:ascii="宋体" w:hAnsi="宋体"/>
          <w:szCs w:val="21"/>
        </w:rPr>
        <w:t>10.4.1.2已标价工程量清单中有类似项目的，参考类似项目单价计算；</w:t>
      </w:r>
    </w:p>
    <w:p>
      <w:pPr>
        <w:spacing w:line="360" w:lineRule="auto"/>
        <w:ind w:firstLine="420" w:firstLineChars="200"/>
        <w:jc w:val="left"/>
        <w:rPr>
          <w:rFonts w:ascii="宋体" w:hAnsi="宋体"/>
          <w:szCs w:val="21"/>
        </w:rPr>
      </w:pPr>
      <w:r>
        <w:rPr>
          <w:rFonts w:hint="eastAsia" w:ascii="宋体" w:hAnsi="宋体"/>
          <w:szCs w:val="21"/>
        </w:rPr>
        <w:t>10.4.1.3已标价工程量清单中无相同项目亦无类似项目的，按照以下原则执行：</w:t>
      </w:r>
    </w:p>
    <w:p>
      <w:pPr>
        <w:spacing w:line="360" w:lineRule="auto"/>
        <w:ind w:firstLine="420" w:firstLineChars="200"/>
        <w:jc w:val="left"/>
        <w:rPr>
          <w:rFonts w:ascii="宋体" w:hAnsi="宋体"/>
          <w:szCs w:val="21"/>
        </w:rPr>
      </w:pPr>
      <w:r>
        <w:rPr>
          <w:rFonts w:hint="eastAsia"/>
        </w:rPr>
        <w:t>按</w:t>
      </w:r>
      <w:r>
        <w:rPr>
          <w:rFonts w:hint="eastAsia" w:ascii="宋体" w:hAnsi="宋体" w:cs="宋体"/>
          <w:szCs w:val="21"/>
        </w:rPr>
        <w:t>《建设工程工程量清单计价规范》（GB50500-2013）、《重庆市建设工程工程量清单计价规则》（CQQDGZ-2013）、《重庆市建设工程费用定额》</w:t>
      </w:r>
      <w:r>
        <w:rPr>
          <w:rFonts w:hint="eastAsia" w:ascii="宋体" w:hAnsi="宋体" w:cs="宋体"/>
          <w:szCs w:val="21"/>
          <w:lang w:eastAsia="zh-CN"/>
        </w:rPr>
        <w:t>、</w:t>
      </w:r>
      <w:r>
        <w:rPr>
          <w:rFonts w:hint="eastAsia" w:ascii="宋体" w:hAnsi="宋体" w:cs="宋体"/>
          <w:szCs w:val="21"/>
          <w:lang w:val="en-US" w:eastAsia="zh-CN"/>
        </w:rPr>
        <w:t>2018年《重庆市市政工程计价定额》</w:t>
      </w:r>
      <w:r>
        <w:rPr>
          <w:rFonts w:hint="eastAsia"/>
        </w:rPr>
        <w:t>及其相关配套文件</w:t>
      </w:r>
      <w:r>
        <w:rPr>
          <w:rFonts w:hint="eastAsia"/>
          <w:lang w:eastAsia="zh-CN"/>
        </w:rPr>
        <w:t>、设计图纸、国家技术规范、标准及工程实际情况</w:t>
      </w:r>
      <w:r>
        <w:rPr>
          <w:rFonts w:hint="eastAsia" w:ascii="宋体" w:hAnsi="宋体"/>
          <w:szCs w:val="21"/>
        </w:rPr>
        <w:t>进行组价并按承包人报价浮动率下浮（认质核价的设备和材料不参与浮动），经监理人、跟审单位、发包人审定后执行。</w:t>
      </w:r>
    </w:p>
    <w:p>
      <w:pPr>
        <w:spacing w:line="360" w:lineRule="auto"/>
        <w:ind w:firstLine="420" w:firstLineChars="200"/>
        <w:jc w:val="left"/>
        <w:rPr>
          <w:rFonts w:ascii="宋体" w:hAnsi="宋体"/>
          <w:szCs w:val="21"/>
        </w:rPr>
      </w:pPr>
      <w:r>
        <w:rPr>
          <w:rFonts w:hint="eastAsia" w:ascii="宋体" w:hAnsi="宋体"/>
          <w:szCs w:val="21"/>
        </w:rPr>
        <w:t>承包人报价浮动率按下列公式计算：承包人报价浮动率=（1-中标价/最高限价）×100%。</w:t>
      </w:r>
    </w:p>
    <w:p>
      <w:pPr>
        <w:spacing w:line="360" w:lineRule="auto"/>
        <w:ind w:firstLine="420" w:firstLineChars="200"/>
        <w:jc w:val="left"/>
        <w:rPr>
          <w:rFonts w:ascii="宋体" w:hAnsi="宋体"/>
          <w:szCs w:val="21"/>
        </w:rPr>
      </w:pPr>
      <w:r>
        <w:rPr>
          <w:rFonts w:hint="eastAsia" w:ascii="宋体" w:hAnsi="宋体"/>
          <w:szCs w:val="21"/>
        </w:rPr>
        <w:t>（1）人工单价：</w:t>
      </w:r>
      <w:r>
        <w:rPr>
          <w:rFonts w:hint="eastAsia"/>
          <w:szCs w:val="22"/>
        </w:rPr>
        <w:t>人工</w:t>
      </w:r>
      <w:r>
        <w:rPr>
          <w:rFonts w:hint="eastAsia"/>
          <w:szCs w:val="22"/>
          <w:lang w:eastAsia="zh-CN"/>
        </w:rPr>
        <w:t>单价</w:t>
      </w:r>
      <w:r>
        <w:rPr>
          <w:rFonts w:hint="eastAsia"/>
          <w:szCs w:val="22"/>
        </w:rPr>
        <w:t>按</w:t>
      </w:r>
      <w:r>
        <w:rPr>
          <w:rFonts w:hint="eastAsia"/>
          <w:szCs w:val="22"/>
          <w:lang w:eastAsia="zh-CN"/>
        </w:rPr>
        <w:t>重庆市建设工程造价信息网发布的</w:t>
      </w:r>
      <w:r>
        <w:rPr>
          <w:rFonts w:hint="eastAsia"/>
          <w:szCs w:val="22"/>
        </w:rPr>
        <w:t>2020年第四季度</w:t>
      </w:r>
      <w:r>
        <w:rPr>
          <w:rFonts w:hint="eastAsia"/>
          <w:szCs w:val="22"/>
          <w:lang w:eastAsia="zh-CN"/>
        </w:rPr>
        <w:t>人工价格计算</w:t>
      </w:r>
      <w:r>
        <w:rPr>
          <w:rFonts w:hint="eastAsia" w:ascii="宋体" w:hAnsi="宋体"/>
          <w:szCs w:val="21"/>
        </w:rPr>
        <w:t>。</w:t>
      </w:r>
    </w:p>
    <w:p>
      <w:pPr>
        <w:spacing w:line="360" w:lineRule="auto"/>
        <w:ind w:firstLine="420" w:firstLineChars="200"/>
        <w:jc w:val="left"/>
        <w:rPr>
          <w:rFonts w:ascii="宋体" w:hAnsi="宋体"/>
          <w:szCs w:val="21"/>
        </w:rPr>
      </w:pPr>
      <w:bookmarkStart w:id="925" w:name="_Hlk529023896"/>
      <w:r>
        <w:rPr>
          <w:rFonts w:hint="eastAsia" w:ascii="宋体" w:hAnsi="宋体"/>
          <w:szCs w:val="21"/>
        </w:rPr>
        <w:t>（2）材料单价：</w:t>
      </w:r>
    </w:p>
    <w:p>
      <w:pPr>
        <w:spacing w:line="360" w:lineRule="auto"/>
        <w:ind w:firstLine="420" w:firstLineChars="200"/>
        <w:jc w:val="left"/>
        <w:rPr>
          <w:rFonts w:ascii="宋体" w:hAnsi="宋体"/>
          <w:szCs w:val="21"/>
        </w:rPr>
      </w:pPr>
      <w:r>
        <w:rPr>
          <w:rFonts w:hint="eastAsia" w:ascii="宋体" w:hAnsi="宋体"/>
          <w:szCs w:val="21"/>
        </w:rPr>
        <w:t>①</w:t>
      </w:r>
      <w:r>
        <w:rPr>
          <w:rFonts w:hint="eastAsia"/>
          <w:szCs w:val="22"/>
          <w:lang w:eastAsia="zh-CN"/>
        </w:rPr>
        <w:t>主要</w:t>
      </w:r>
      <w:r>
        <w:rPr>
          <w:rFonts w:hint="eastAsia"/>
          <w:szCs w:val="22"/>
        </w:rPr>
        <w:t>材料</w:t>
      </w:r>
      <w:r>
        <w:rPr>
          <w:rFonts w:hint="eastAsia"/>
          <w:szCs w:val="22"/>
          <w:lang w:eastAsia="zh-CN"/>
        </w:rPr>
        <w:t>单价</w:t>
      </w:r>
      <w:r>
        <w:rPr>
          <w:rFonts w:hint="eastAsia"/>
          <w:szCs w:val="22"/>
        </w:rPr>
        <w:t>按</w:t>
      </w:r>
      <w:r>
        <w:rPr>
          <w:rFonts w:hint="eastAsia"/>
          <w:szCs w:val="22"/>
          <w:lang w:eastAsia="zh-CN"/>
        </w:rPr>
        <w:t>重庆市建设工程造价信息网发布的</w:t>
      </w:r>
      <w:r>
        <w:rPr>
          <w:rFonts w:hint="eastAsia"/>
          <w:szCs w:val="22"/>
          <w:lang w:val="en-US" w:eastAsia="zh-CN"/>
        </w:rPr>
        <w:t>2021年1月铜梁区及目前市场相应的材料价格（不税价）计算</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②</w:t>
      </w:r>
      <w:r>
        <w:rPr>
          <w:rFonts w:hint="eastAsia" w:ascii="宋体" w:hAnsi="宋体"/>
          <w:szCs w:val="21"/>
          <w:lang w:val="en-US" w:eastAsia="zh-CN"/>
        </w:rPr>
        <w:t>2021年</w:t>
      </w:r>
      <w:r>
        <w:rPr>
          <w:rFonts w:hint="eastAsia"/>
          <w:szCs w:val="22"/>
          <w:lang w:val="en-US" w:eastAsia="zh-CN"/>
        </w:rPr>
        <w:t>1月</w:t>
      </w:r>
      <w:r>
        <w:rPr>
          <w:rFonts w:hint="eastAsia"/>
          <w:szCs w:val="22"/>
          <w:lang w:eastAsia="zh-CN"/>
        </w:rPr>
        <w:t>重庆市建设工程造价信息网</w:t>
      </w:r>
      <w:r>
        <w:rPr>
          <w:rFonts w:hint="eastAsia" w:ascii="宋体" w:hAnsi="宋体"/>
          <w:szCs w:val="21"/>
        </w:rPr>
        <w:t>没有的，承包人投标报价中有的，按承包人投标报价中相同材料单价的最低值执行；</w:t>
      </w:r>
    </w:p>
    <w:p>
      <w:pPr>
        <w:spacing w:line="360" w:lineRule="auto"/>
        <w:ind w:firstLine="420" w:firstLineChars="200"/>
        <w:jc w:val="left"/>
        <w:rPr>
          <w:rFonts w:ascii="宋体" w:hAnsi="宋体"/>
          <w:szCs w:val="21"/>
        </w:rPr>
      </w:pPr>
      <w:r>
        <w:rPr>
          <w:rFonts w:hint="eastAsia" w:ascii="宋体" w:hAnsi="宋体"/>
          <w:szCs w:val="21"/>
        </w:rPr>
        <w:t>③</w:t>
      </w:r>
      <w:r>
        <w:rPr>
          <w:rFonts w:hint="eastAsia" w:ascii="宋体" w:hAnsi="宋体"/>
          <w:szCs w:val="21"/>
          <w:lang w:val="en-US" w:eastAsia="zh-CN"/>
        </w:rPr>
        <w:t>2</w:t>
      </w:r>
      <w:r>
        <w:rPr>
          <w:rFonts w:hint="eastAsia" w:ascii="宋体" w:hAnsi="宋体"/>
          <w:szCs w:val="21"/>
          <w:lang w:val="en-US" w:eastAsia="zh-CN"/>
        </w:rPr>
        <w:t>021年</w:t>
      </w:r>
      <w:r>
        <w:rPr>
          <w:rFonts w:hint="eastAsia"/>
          <w:szCs w:val="22"/>
          <w:lang w:val="en-US" w:eastAsia="zh-CN"/>
        </w:rPr>
        <w:t>1月</w:t>
      </w:r>
      <w:r>
        <w:rPr>
          <w:rFonts w:hint="eastAsia"/>
          <w:szCs w:val="22"/>
          <w:lang w:eastAsia="zh-CN"/>
        </w:rPr>
        <w:t>重庆市建设工程造价信息网</w:t>
      </w:r>
      <w:r>
        <w:rPr>
          <w:rFonts w:hint="eastAsia" w:ascii="宋体" w:hAnsi="宋体"/>
          <w:szCs w:val="21"/>
        </w:rPr>
        <w:t>和承包人投标报价没有的，由承包人申报、监理人会同跟审单位、发包人根据市场行情认质核价确定。</w:t>
      </w:r>
    </w:p>
    <w:bookmarkEnd w:id="925"/>
    <w:p>
      <w:pPr>
        <w:spacing w:line="360" w:lineRule="auto"/>
        <w:ind w:firstLine="420" w:firstLineChars="200"/>
        <w:jc w:val="left"/>
        <w:rPr>
          <w:rFonts w:ascii="宋体" w:hAnsi="宋体"/>
          <w:szCs w:val="21"/>
        </w:rPr>
      </w:pPr>
      <w:r>
        <w:rPr>
          <w:rFonts w:hint="eastAsia" w:ascii="宋体" w:hAnsi="宋体"/>
          <w:szCs w:val="21"/>
        </w:rPr>
        <w:t>（3）企业管理费和利润：按承包人投标报价中相同工程分类的费用标准执行（投标报价中费用标准高于《重庆市建设工程费用定额》（CQFYDE-2018）费用标准的，按《重庆市建设工程费用定额》（CQFYDE-2018）费用标准执行）。</w:t>
      </w:r>
    </w:p>
    <w:p>
      <w:pPr>
        <w:spacing w:line="360" w:lineRule="auto"/>
        <w:ind w:firstLine="420" w:firstLineChars="200"/>
        <w:jc w:val="left"/>
        <w:rPr>
          <w:rFonts w:ascii="宋体" w:hAnsi="宋体"/>
          <w:szCs w:val="21"/>
        </w:rPr>
      </w:pPr>
      <w:r>
        <w:rPr>
          <w:rFonts w:hint="eastAsia" w:ascii="宋体" w:hAnsi="宋体"/>
          <w:szCs w:val="21"/>
        </w:rPr>
        <w:t>（4）规费：按《重庆市建设工程费用定额》（CQFYDE-2018）费用标准进行计算。</w:t>
      </w:r>
    </w:p>
    <w:p>
      <w:pPr>
        <w:spacing w:line="360" w:lineRule="auto"/>
        <w:ind w:firstLine="420" w:firstLineChars="200"/>
        <w:jc w:val="left"/>
        <w:rPr>
          <w:rFonts w:ascii="宋体" w:hAnsi="宋体"/>
          <w:szCs w:val="21"/>
        </w:rPr>
      </w:pPr>
      <w:r>
        <w:rPr>
          <w:rFonts w:hint="eastAsia" w:ascii="宋体" w:hAnsi="宋体"/>
          <w:szCs w:val="21"/>
        </w:rPr>
        <w:t>（5）税金：包含增值税、城市维护建设税、教育费附加、地方教育附加以及环境保护税。其中增值税按《重庆市建设工程费用定额》（CQFYDE-2018）规定及配套文件执行。</w:t>
      </w:r>
    </w:p>
    <w:p>
      <w:pPr>
        <w:spacing w:line="360" w:lineRule="auto"/>
        <w:ind w:firstLine="420" w:firstLineChars="200"/>
        <w:jc w:val="left"/>
        <w:rPr>
          <w:rFonts w:ascii="宋体" w:hAnsi="宋体"/>
          <w:szCs w:val="21"/>
          <w:u w:val="single"/>
        </w:rPr>
      </w:pPr>
      <w:r>
        <w:rPr>
          <w:rFonts w:hint="eastAsia" w:ascii="宋体" w:hAnsi="宋体"/>
          <w:szCs w:val="21"/>
        </w:rPr>
        <w:t>10.4.1.4已标价工程量清单中无相同项目亦无类似项目，也无定额可套用的，由承包人会同监理人、跟审单位、发包人按相关原则、编制方法编制补充定额（人工、材料、机械基价执行2018年计价定额的基价，2018年计价定额没有的基价，按市场价计），按照第10.4.1项〔变更估价原则〕（3）目约定执行；或参照重庆市场相同工作的市场价格上报监理人，最终价格按承包人、监理人、跟审单位、发包人共同询价确认的价格执行。</w:t>
      </w:r>
    </w:p>
    <w:p>
      <w:pPr>
        <w:spacing w:line="360" w:lineRule="auto"/>
        <w:ind w:firstLine="420" w:firstLineChars="200"/>
        <w:jc w:val="left"/>
        <w:rPr>
          <w:rFonts w:ascii="宋体" w:hAnsi="宋体"/>
          <w:szCs w:val="21"/>
        </w:rPr>
      </w:pPr>
      <w:r>
        <w:rPr>
          <w:rFonts w:hint="eastAsia" w:ascii="宋体" w:hAnsi="宋体"/>
          <w:szCs w:val="21"/>
        </w:rPr>
        <w:t>本款补充10.4.3项：</w:t>
      </w:r>
    </w:p>
    <w:p>
      <w:pPr>
        <w:spacing w:line="360" w:lineRule="auto"/>
        <w:ind w:firstLine="420" w:firstLineChars="200"/>
        <w:jc w:val="left"/>
        <w:rPr>
          <w:rFonts w:ascii="宋体" w:hAnsi="宋体"/>
          <w:szCs w:val="21"/>
        </w:rPr>
      </w:pPr>
      <w:r>
        <w:rPr>
          <w:rFonts w:hint="eastAsia" w:ascii="宋体" w:hAnsi="宋体"/>
          <w:szCs w:val="21"/>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pPr>
        <w:spacing w:line="360" w:lineRule="auto"/>
        <w:ind w:firstLine="420" w:firstLineChars="200"/>
        <w:jc w:val="left"/>
        <w:rPr>
          <w:rFonts w:ascii="宋体" w:hAnsi="宋体"/>
          <w:szCs w:val="21"/>
        </w:rPr>
      </w:pPr>
      <w:r>
        <w:rPr>
          <w:rFonts w:hint="eastAsia" w:ascii="宋体" w:hAnsi="宋体"/>
          <w:szCs w:val="21"/>
        </w:rPr>
        <w:t>（1）安全文明施工费应按照实际发生变化的措施项目依据现行安全文明施工费计取及管理政策规定及《重庆市建设工程费用定额》（CQFYDE-2018）规定执行；</w:t>
      </w:r>
    </w:p>
    <w:p>
      <w:pPr>
        <w:spacing w:line="360" w:lineRule="auto"/>
        <w:ind w:firstLine="420" w:firstLineChars="200"/>
        <w:jc w:val="left"/>
        <w:rPr>
          <w:rFonts w:ascii="宋体" w:hAnsi="宋体"/>
          <w:szCs w:val="21"/>
        </w:rPr>
      </w:pPr>
      <w:r>
        <w:rPr>
          <w:rFonts w:hint="eastAsia" w:ascii="宋体" w:hAnsi="宋体"/>
          <w:szCs w:val="21"/>
        </w:rPr>
        <w:t>（2）按照单价计算的措施项目费，应按照实际发生变化的措施项目，按照第10.4.1项〔变更估价原则〕约定执行；</w:t>
      </w:r>
    </w:p>
    <w:p>
      <w:pPr>
        <w:spacing w:line="360" w:lineRule="auto"/>
        <w:ind w:firstLine="420" w:firstLineChars="200"/>
        <w:jc w:val="left"/>
        <w:rPr>
          <w:rFonts w:ascii="宋体" w:hAnsi="宋体"/>
          <w:szCs w:val="21"/>
        </w:rPr>
      </w:pPr>
      <w:r>
        <w:rPr>
          <w:rFonts w:hint="eastAsia" w:ascii="宋体" w:hAnsi="宋体"/>
          <w:szCs w:val="21"/>
        </w:rPr>
        <w:t>（3）按总价（或系数）计算的措施项目费，应按照实际发生变化的措施项目费按承包人报价浮动率下浮后的金额计算；</w:t>
      </w:r>
    </w:p>
    <w:p>
      <w:pPr>
        <w:spacing w:line="360" w:lineRule="auto"/>
        <w:ind w:firstLine="420" w:firstLineChars="200"/>
        <w:jc w:val="left"/>
        <w:rPr>
          <w:rFonts w:ascii="宋体" w:hAnsi="宋体"/>
          <w:szCs w:val="21"/>
          <w:u w:val="single"/>
        </w:rPr>
      </w:pPr>
      <w:r>
        <w:rPr>
          <w:rFonts w:hint="eastAsia" w:ascii="宋体" w:hAnsi="宋体"/>
          <w:szCs w:val="21"/>
        </w:rPr>
        <w:t>（4）如果承包人未事前将拟实施的方案提交给发包人确认，则应视为工程变更不引起措施项目费的调整或承包人放弃调整措施项目费的权利。</w:t>
      </w:r>
    </w:p>
    <w:bookmarkEnd w:id="923"/>
    <w:p>
      <w:pPr>
        <w:pStyle w:val="8"/>
        <w:spacing w:before="0" w:after="0" w:line="360" w:lineRule="auto"/>
        <w:ind w:firstLine="422" w:firstLineChars="200"/>
        <w:rPr>
          <w:sz w:val="21"/>
          <w:szCs w:val="21"/>
        </w:rPr>
      </w:pPr>
      <w:bookmarkStart w:id="926" w:name="_Toc532375639"/>
      <w:bookmarkStart w:id="927" w:name="_Toc532377375"/>
      <w:r>
        <w:rPr>
          <w:rFonts w:hint="eastAsia"/>
          <w:sz w:val="21"/>
          <w:szCs w:val="21"/>
        </w:rPr>
        <w:t>1</w:t>
      </w:r>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Start w:id="928" w:name="_Toc296503197"/>
      <w:bookmarkStart w:id="929" w:name="_Toc297048383"/>
      <w:bookmarkStart w:id="930" w:name="_Toc297123544"/>
      <w:bookmarkStart w:id="931" w:name="_Toc300934993"/>
      <w:bookmarkStart w:id="932" w:name="_Toc297216203"/>
      <w:bookmarkStart w:id="933" w:name="_Toc292559402"/>
      <w:bookmarkStart w:id="934" w:name="_Toc296891025"/>
      <w:bookmarkStart w:id="935" w:name="_Toc296347196"/>
      <w:bookmarkStart w:id="936" w:name="_Toc297120497"/>
      <w:bookmarkStart w:id="937" w:name="_Toc296346698"/>
      <w:bookmarkStart w:id="938" w:name="_Toc303539150"/>
      <w:bookmarkStart w:id="939" w:name="_Toc296944536"/>
      <w:bookmarkStart w:id="940" w:name="_Toc296891237"/>
      <w:bookmarkStart w:id="941" w:name="_Toc292559907"/>
      <w:bookmarkStart w:id="942" w:name="_Toc304295570"/>
      <w:bookmarkStart w:id="943" w:name="_Toc312677503"/>
      <w:bookmarkStart w:id="944" w:name="_Toc312678029"/>
      <w:r>
        <w:rPr>
          <w:rFonts w:hint="eastAsia"/>
          <w:sz w:val="21"/>
          <w:szCs w:val="21"/>
        </w:rPr>
        <w:t>0.5承</w:t>
      </w:r>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Start w:id="945" w:name="_Toc296944542"/>
      <w:bookmarkStart w:id="946" w:name="_Toc297048389"/>
      <w:bookmarkStart w:id="947" w:name="_Toc296503203"/>
      <w:bookmarkStart w:id="948" w:name="_Toc292559408"/>
      <w:bookmarkStart w:id="949" w:name="_Toc297216204"/>
      <w:bookmarkStart w:id="950" w:name="_Toc296347202"/>
      <w:bookmarkStart w:id="951" w:name="_Toc296891031"/>
      <w:bookmarkStart w:id="952" w:name="_Toc296346704"/>
      <w:bookmarkStart w:id="953" w:name="_Toc296891243"/>
      <w:bookmarkStart w:id="954" w:name="_Toc297120503"/>
      <w:bookmarkStart w:id="955" w:name="_Toc297123545"/>
      <w:bookmarkStart w:id="956" w:name="_Toc300934994"/>
      <w:bookmarkStart w:id="957" w:name="_Toc292559913"/>
      <w:bookmarkStart w:id="958" w:name="_Toc303539151"/>
      <w:r>
        <w:rPr>
          <w:rFonts w:hint="eastAsia"/>
          <w:sz w:val="21"/>
          <w:szCs w:val="21"/>
        </w:rPr>
        <w:t>包人的合理化建议</w:t>
      </w:r>
      <w:bookmarkEnd w:id="926"/>
      <w:bookmarkEnd w:id="927"/>
    </w:p>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p>
      <w:pPr>
        <w:spacing w:line="360" w:lineRule="auto"/>
        <w:ind w:firstLine="420" w:firstLineChars="200"/>
        <w:jc w:val="left"/>
        <w:rPr>
          <w:rFonts w:ascii="宋体" w:hAnsi="宋体"/>
          <w:szCs w:val="21"/>
        </w:rPr>
      </w:pPr>
      <w:r>
        <w:rPr>
          <w:rFonts w:hint="eastAsia" w:ascii="宋体" w:hAnsi="宋体"/>
          <w:szCs w:val="21"/>
        </w:rPr>
        <w:t>承包人提出合理化建议的，应向监理人提交合理化建议说明，说明建议的内容和理由，以及实施该建议对合同价格和（或）工期和（或）工程经济效益的影响。</w:t>
      </w:r>
    </w:p>
    <w:p>
      <w:pPr>
        <w:spacing w:line="360" w:lineRule="auto"/>
        <w:ind w:firstLine="420" w:firstLineChars="200"/>
        <w:jc w:val="left"/>
        <w:rPr>
          <w:rFonts w:ascii="宋体" w:hAnsi="宋体"/>
          <w:szCs w:val="21"/>
        </w:rPr>
      </w:pPr>
      <w:r>
        <w:rPr>
          <w:rFonts w:hint="eastAsia" w:ascii="宋体" w:hAnsi="宋体"/>
          <w:szCs w:val="21"/>
        </w:rPr>
        <w:t>监理人审查承包人合理化建议的期限：</w:t>
      </w:r>
      <w:r>
        <w:rPr>
          <w:rFonts w:hint="eastAsia" w:ascii="宋体" w:hAnsi="宋体"/>
          <w:szCs w:val="21"/>
          <w:u w:val="single"/>
        </w:rPr>
        <w:t>不超过14天</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发包人审批承包人合理化建议的期限：</w:t>
      </w:r>
      <w:r>
        <w:rPr>
          <w:rFonts w:hint="eastAsia" w:ascii="宋体" w:hAnsi="宋体"/>
          <w:szCs w:val="21"/>
          <w:u w:val="single"/>
        </w:rPr>
        <w:t>不超过14天</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承</w:t>
      </w:r>
      <w:bookmarkStart w:id="959" w:name="_Toc292559409"/>
      <w:bookmarkStart w:id="960" w:name="_Toc318581175"/>
      <w:bookmarkStart w:id="961" w:name="_Toc297123546"/>
      <w:bookmarkStart w:id="962" w:name="_Toc292559914"/>
      <w:bookmarkStart w:id="963" w:name="_Toc312677504"/>
      <w:bookmarkStart w:id="964" w:name="_Toc296503204"/>
      <w:bookmarkStart w:id="965" w:name="_Toc297120504"/>
      <w:bookmarkStart w:id="966" w:name="_Toc296891244"/>
      <w:bookmarkStart w:id="967" w:name="_Toc297048390"/>
      <w:bookmarkStart w:id="968" w:name="_Toc297216205"/>
      <w:bookmarkStart w:id="969" w:name="_Toc296347203"/>
      <w:bookmarkStart w:id="970" w:name="_Toc303539152"/>
      <w:bookmarkStart w:id="971" w:name="_Toc296944543"/>
      <w:bookmarkStart w:id="972" w:name="_Toc300934995"/>
      <w:bookmarkStart w:id="973" w:name="_Toc296346705"/>
      <w:bookmarkStart w:id="974" w:name="_Toc312678030"/>
      <w:bookmarkStart w:id="975" w:name="_Toc296891032"/>
      <w:bookmarkStart w:id="976" w:name="_Toc304295571"/>
      <w:r>
        <w:rPr>
          <w:rFonts w:hint="eastAsia" w:ascii="宋体" w:hAnsi="宋体"/>
          <w:szCs w:val="21"/>
        </w:rPr>
        <w:t>包人提出的合理化建议降低了合同价格或缩短了工期或者提高了工程经济效益的奖励的方法和金额为：</w:t>
      </w:r>
      <w:r>
        <w:rPr>
          <w:rFonts w:hint="eastAsia" w:ascii="宋体" w:hAnsi="宋体"/>
          <w:szCs w:val="21"/>
          <w:u w:val="single"/>
        </w:rPr>
        <w:t>无</w:t>
      </w:r>
      <w:r>
        <w:rPr>
          <w:rFonts w:hint="eastAsia" w:ascii="宋体" w:hAnsi="宋体"/>
          <w:szCs w:val="21"/>
        </w:rPr>
        <w:t>。</w:t>
      </w:r>
    </w:p>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Pr>
        <w:pStyle w:val="8"/>
        <w:spacing w:before="0" w:after="0" w:line="360" w:lineRule="auto"/>
        <w:ind w:firstLine="422" w:firstLineChars="200"/>
        <w:rPr>
          <w:sz w:val="21"/>
          <w:szCs w:val="21"/>
        </w:rPr>
      </w:pPr>
      <w:bookmarkStart w:id="977" w:name="_Toc532377376"/>
      <w:bookmarkStart w:id="978" w:name="_Toc532375640"/>
      <w:r>
        <w:rPr>
          <w:rFonts w:hint="eastAsia"/>
          <w:sz w:val="21"/>
          <w:szCs w:val="21"/>
        </w:rPr>
        <w:t>1</w:t>
      </w:r>
      <w:bookmarkStart w:id="979" w:name="_Toc312678033"/>
      <w:bookmarkStart w:id="980" w:name="_Toc297120499"/>
      <w:bookmarkStart w:id="981" w:name="_Toc296347198"/>
      <w:bookmarkStart w:id="982" w:name="_Toc296346700"/>
      <w:bookmarkStart w:id="983" w:name="_Toc292559909"/>
      <w:bookmarkStart w:id="984" w:name="_Toc296944538"/>
      <w:bookmarkStart w:id="985" w:name="_Toc303539154"/>
      <w:bookmarkStart w:id="986" w:name="_Toc312677507"/>
      <w:bookmarkStart w:id="987" w:name="_Toc297123548"/>
      <w:bookmarkStart w:id="988" w:name="_Toc292559404"/>
      <w:bookmarkStart w:id="989" w:name="_Toc296503199"/>
      <w:bookmarkStart w:id="990" w:name="_Toc297216207"/>
      <w:bookmarkStart w:id="991" w:name="_Toc300934997"/>
      <w:bookmarkStart w:id="992" w:name="_Toc304295574"/>
      <w:bookmarkStart w:id="993" w:name="_Toc296891027"/>
      <w:bookmarkStart w:id="994" w:name="_Toc297048385"/>
      <w:bookmarkStart w:id="995" w:name="_Toc296891239"/>
      <w:r>
        <w:rPr>
          <w:rFonts w:hint="eastAsia"/>
          <w:sz w:val="21"/>
          <w:szCs w:val="21"/>
        </w:rPr>
        <w:t>0.7 暂估价</w:t>
      </w:r>
      <w:bookmarkEnd w:id="977"/>
      <w:bookmarkEnd w:id="978"/>
    </w:p>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p>
      <w:pPr>
        <w:spacing w:line="360" w:lineRule="auto"/>
        <w:ind w:firstLine="420" w:firstLineChars="200"/>
        <w:jc w:val="left"/>
        <w:rPr>
          <w:rFonts w:ascii="宋体" w:hAnsi="宋体"/>
          <w:szCs w:val="21"/>
        </w:rPr>
      </w:pPr>
      <w:r>
        <w:rPr>
          <w:rFonts w:hint="eastAsia" w:ascii="宋体" w:hAnsi="宋体"/>
          <w:szCs w:val="21"/>
        </w:rPr>
        <w:t>专业工程暂估价：</w:t>
      </w:r>
      <w:r>
        <w:rPr>
          <w:rFonts w:ascii="宋体" w:hAnsi="宋体"/>
          <w:szCs w:val="21"/>
          <w:u w:val="single"/>
        </w:rPr>
        <w:t>/</w:t>
      </w:r>
      <w:r>
        <w:rPr>
          <w:rFonts w:hint="eastAsia" w:ascii="宋体" w:hAnsi="宋体"/>
          <w:szCs w:val="21"/>
        </w:rPr>
        <w:t>万元。</w:t>
      </w:r>
    </w:p>
    <w:p>
      <w:pPr>
        <w:spacing w:line="360" w:lineRule="auto"/>
        <w:ind w:firstLine="420" w:firstLineChars="200"/>
        <w:jc w:val="left"/>
        <w:rPr>
          <w:rFonts w:ascii="宋体" w:hAnsi="宋体"/>
          <w:szCs w:val="21"/>
        </w:rPr>
      </w:pPr>
      <w:r>
        <w:rPr>
          <w:rFonts w:hint="eastAsia" w:ascii="宋体" w:hAnsi="宋体"/>
          <w:szCs w:val="21"/>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10.4.1项〔变更估价原则〕执行，承包人申报，经监理人、跟审单位、发包人共同审定。审定后根据承包人签订的相关合同（需经监理人、跟审单位、发包人共同确认）约定，由承包人申报，随进度款按与相关单位签订的合同约定一并支付。</w:t>
      </w:r>
    </w:p>
    <w:p>
      <w:pPr>
        <w:spacing w:line="360" w:lineRule="auto"/>
        <w:ind w:firstLine="420" w:firstLineChars="200"/>
        <w:jc w:val="left"/>
        <w:rPr>
          <w:rFonts w:ascii="宋体" w:hAnsi="宋体"/>
          <w:szCs w:val="21"/>
          <w:u w:val="single"/>
        </w:rPr>
      </w:pPr>
      <w:r>
        <w:rPr>
          <w:rFonts w:hint="eastAsia" w:ascii="宋体" w:hAnsi="宋体"/>
          <w:szCs w:val="21"/>
        </w:rPr>
        <w:t>单项合同暂估价在国家相关法律法规规定必须招标规模以上的，需依法必须招标的，由承包人、发包人共同招标确定。</w:t>
      </w:r>
    </w:p>
    <w:p>
      <w:pPr>
        <w:pStyle w:val="8"/>
        <w:spacing w:before="0" w:after="0" w:line="360" w:lineRule="auto"/>
        <w:ind w:firstLine="422" w:firstLineChars="200"/>
        <w:rPr>
          <w:sz w:val="21"/>
          <w:szCs w:val="21"/>
        </w:rPr>
      </w:pPr>
      <w:bookmarkStart w:id="996" w:name="_Toc532375641"/>
      <w:bookmarkStart w:id="997" w:name="_Toc532377377"/>
      <w:r>
        <w:rPr>
          <w:rFonts w:hint="eastAsia"/>
          <w:sz w:val="21"/>
          <w:szCs w:val="21"/>
        </w:rPr>
        <w:t>10.8 暂列金额</w:t>
      </w:r>
      <w:bookmarkEnd w:id="996"/>
      <w:bookmarkEnd w:id="997"/>
    </w:p>
    <w:p>
      <w:pPr>
        <w:autoSpaceDE w:val="0"/>
        <w:autoSpaceDN w:val="0"/>
        <w:spacing w:line="360" w:lineRule="auto"/>
        <w:ind w:firstLine="420" w:firstLineChars="200"/>
        <w:jc w:val="left"/>
        <w:rPr>
          <w:rFonts w:ascii="宋体" w:hAnsi="宋体"/>
          <w:szCs w:val="21"/>
        </w:rPr>
      </w:pPr>
      <w:r>
        <w:rPr>
          <w:rFonts w:hint="eastAsia" w:ascii="宋体" w:hAnsi="宋体"/>
          <w:szCs w:val="21"/>
        </w:rPr>
        <w:t>合同当事人关于暂列金额使用的约定：</w:t>
      </w:r>
      <w:r>
        <w:rPr>
          <w:rFonts w:hint="eastAsia" w:ascii="宋体" w:hAnsi="宋体"/>
          <w:szCs w:val="21"/>
          <w:u w:val="single"/>
        </w:rPr>
        <w:t>按相关规定执行</w:t>
      </w:r>
      <w:r>
        <w:rPr>
          <w:rFonts w:hint="eastAsia" w:ascii="宋体" w:hAnsi="宋体"/>
          <w:szCs w:val="21"/>
        </w:rPr>
        <w:t>。</w:t>
      </w:r>
    </w:p>
    <w:p>
      <w:pPr>
        <w:pStyle w:val="7"/>
        <w:numPr>
          <w:ilvl w:val="0"/>
          <w:numId w:val="4"/>
        </w:numPr>
        <w:spacing w:before="120" w:beforeLines="50" w:after="120" w:afterLines="50" w:line="360" w:lineRule="auto"/>
        <w:rPr>
          <w:sz w:val="21"/>
          <w:szCs w:val="21"/>
        </w:rPr>
      </w:pPr>
      <w:bookmarkStart w:id="998" w:name="_Toc532375642"/>
      <w:bookmarkStart w:id="999" w:name="_Toc532377378"/>
      <w:bookmarkStart w:id="1000" w:name="_Toc351203643"/>
      <w:r>
        <w:rPr>
          <w:rFonts w:hint="eastAsia"/>
          <w:sz w:val="21"/>
          <w:szCs w:val="21"/>
        </w:rPr>
        <w:t>价格调整</w:t>
      </w:r>
      <w:bookmarkEnd w:id="998"/>
      <w:bookmarkEnd w:id="999"/>
      <w:bookmarkEnd w:id="1000"/>
    </w:p>
    <w:p>
      <w:r>
        <w:rPr>
          <w:rFonts w:hint="eastAsia"/>
        </w:rPr>
        <w:t xml:space="preserve">    11.1</w:t>
      </w:r>
    </w:p>
    <w:bookmarkEnd w:id="882"/>
    <w:bookmarkEnd w:id="883"/>
    <w:bookmarkEnd w:id="884"/>
    <w:bookmarkEnd w:id="885"/>
    <w:bookmarkEnd w:id="886"/>
    <w:bookmarkEnd w:id="887"/>
    <w:p>
      <w:pPr>
        <w:spacing w:line="360" w:lineRule="auto"/>
        <w:ind w:firstLine="420" w:firstLineChars="200"/>
        <w:jc w:val="left"/>
        <w:rPr>
          <w:rFonts w:ascii="宋体" w:hAnsi="宋体"/>
          <w:szCs w:val="21"/>
        </w:rPr>
      </w:pPr>
      <w:bookmarkStart w:id="1001" w:name="_Toc292559410"/>
      <w:bookmarkStart w:id="1002" w:name="_Toc297120505"/>
      <w:bookmarkStart w:id="1003" w:name="_Toc296347204"/>
      <w:bookmarkStart w:id="1004" w:name="_Toc296891033"/>
      <w:bookmarkStart w:id="1005" w:name="_Toc296891245"/>
      <w:bookmarkStart w:id="1006" w:name="_Toc296944544"/>
      <w:bookmarkStart w:id="1007" w:name="_Toc296346706"/>
      <w:bookmarkStart w:id="1008" w:name="_Toc297048391"/>
      <w:bookmarkStart w:id="1009" w:name="_Toc292559915"/>
      <w:bookmarkStart w:id="1010" w:name="_Toc296503205"/>
      <w:bookmarkStart w:id="1011" w:name="_Toc351203644"/>
      <w:bookmarkStart w:id="1012" w:name="_Toc304295579"/>
      <w:bookmarkStart w:id="1013" w:name="_Toc297216211"/>
      <w:bookmarkStart w:id="1014" w:name="_Toc297123552"/>
      <w:bookmarkStart w:id="1015" w:name="_Toc300935002"/>
      <w:bookmarkStart w:id="1016" w:name="_Toc312678040"/>
      <w:bookmarkStart w:id="1017" w:name="_Toc303539159"/>
      <w:r>
        <w:rPr>
          <w:rFonts w:hint="eastAsia" w:ascii="宋体" w:hAnsi="宋体"/>
          <w:szCs w:val="21"/>
          <w:u w:val="single"/>
        </w:rPr>
        <w:t>市场价格波动引起的调整方式：不调整。</w:t>
      </w:r>
    </w:p>
    <w:p>
      <w:pPr>
        <w:pStyle w:val="8"/>
        <w:spacing w:before="0" w:after="0" w:line="360" w:lineRule="auto"/>
        <w:ind w:firstLine="422" w:firstLineChars="200"/>
        <w:rPr>
          <w:sz w:val="21"/>
          <w:szCs w:val="21"/>
        </w:rPr>
      </w:pPr>
      <w:bookmarkStart w:id="1018" w:name="_Toc532377380"/>
      <w:bookmarkStart w:id="1019" w:name="_Toc532375644"/>
      <w:bookmarkStart w:id="1020" w:name="_Hlk528928232"/>
      <w:r>
        <w:rPr>
          <w:rFonts w:hint="eastAsia"/>
          <w:sz w:val="21"/>
          <w:szCs w:val="21"/>
        </w:rPr>
        <w:t>11.2 法律变化引起的调整</w:t>
      </w:r>
      <w:bookmarkEnd w:id="1018"/>
      <w:bookmarkEnd w:id="1019"/>
    </w:p>
    <w:p>
      <w:pPr>
        <w:spacing w:line="360" w:lineRule="auto"/>
        <w:ind w:firstLine="420" w:firstLineChars="200"/>
        <w:jc w:val="left"/>
        <w:rPr>
          <w:rFonts w:ascii="宋体" w:hAnsi="宋体"/>
          <w:szCs w:val="21"/>
        </w:rPr>
      </w:pPr>
      <w:r>
        <w:rPr>
          <w:rFonts w:hint="eastAsia" w:ascii="宋体" w:hAnsi="宋体"/>
          <w:szCs w:val="21"/>
        </w:rPr>
        <w:t>项目投标基准日至竣工验收合格之日，国家或相关行政主管部门发布直接影响项目的新法规、新政策、新文件、新标准，属强制执行的，自执行之日执行，由此增减的费用由发包人承担，估价照第10.4.1项〔变更估价原则〕执行；属选择性执行的，发包人与承包人协商解决。</w:t>
      </w:r>
    </w:p>
    <w:p>
      <w:pPr>
        <w:spacing w:line="360" w:lineRule="auto"/>
        <w:ind w:firstLine="420" w:firstLineChars="200"/>
        <w:jc w:val="left"/>
        <w:rPr>
          <w:rFonts w:ascii="宋体" w:hAnsi="宋体"/>
          <w:szCs w:val="21"/>
        </w:rPr>
      </w:pPr>
      <w:r>
        <w:rPr>
          <w:rFonts w:hint="eastAsia" w:ascii="宋体" w:hAnsi="宋体"/>
          <w:szCs w:val="21"/>
        </w:rPr>
        <w:t>本条补充11.3款</w:t>
      </w:r>
    </w:p>
    <w:bookmarkEnd w:id="1020"/>
    <w:p>
      <w:pPr>
        <w:pStyle w:val="8"/>
        <w:spacing w:before="0" w:after="0" w:line="360" w:lineRule="auto"/>
        <w:ind w:firstLine="422" w:firstLineChars="200"/>
        <w:rPr>
          <w:sz w:val="21"/>
          <w:szCs w:val="21"/>
        </w:rPr>
      </w:pPr>
      <w:bookmarkStart w:id="1021" w:name="_Toc532375645"/>
      <w:bookmarkStart w:id="1022" w:name="_Toc532377381"/>
      <w:r>
        <w:rPr>
          <w:rFonts w:hint="eastAsia"/>
          <w:sz w:val="21"/>
          <w:szCs w:val="21"/>
        </w:rPr>
        <w:t>11.3 严重不平衡报价引起的调整</w:t>
      </w:r>
      <w:bookmarkEnd w:id="1021"/>
      <w:bookmarkEnd w:id="1022"/>
    </w:p>
    <w:p>
      <w:pPr>
        <w:spacing w:line="360" w:lineRule="auto"/>
        <w:ind w:firstLine="420" w:firstLineChars="200"/>
        <w:jc w:val="left"/>
        <w:rPr>
          <w:rFonts w:ascii="宋体" w:hAnsi="宋体"/>
          <w:szCs w:val="21"/>
          <w:u w:val="single"/>
        </w:rPr>
      </w:pPr>
      <w:r>
        <w:rPr>
          <w:rFonts w:hint="eastAsia" w:ascii="宋体" w:hAnsi="宋体"/>
          <w:szCs w:val="21"/>
          <w:u w:val="single"/>
        </w:rPr>
        <w:t>合同履行期间，当按第12.3.1项〔计量原则〕约定确认的完成工程量比已标价工程量清单载明工程量增加超过15%，且发包人发现承包人的已标价工程量清单相关清单子目中有严重不平衡报价的。超过已标价工程量清单载明工程量15%的部分，发包人将对严重不平衡报价的清单子目综合单价进行修正，并按修正综合单价办理竣工结算，修正综合单价按照第10.4.1项〔变更估价原则〕（3）目约定执行</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u w:val="single"/>
        </w:rPr>
        <w:t>严重不平衡报价是指：清单子目综合单价与发包人按照第10.4.1项〔变更估价原则〕（3）目约定确定的综合单价相比，高于50%（即严重不平衡报价清单子目综合单价 - 按照第10.4.1项〔变更估价原则〕（3）目约定确定的综合单价）/按照第10.4.1项〔变更估价原则〕（3）目约定确定的综合单价×100%</w:t>
      </w:r>
      <w:r>
        <w:rPr>
          <w:rFonts w:hint="eastAsia" w:ascii="宋体" w:hAnsi="宋体"/>
          <w:szCs w:val="21"/>
        </w:rPr>
        <w:t>。</w:t>
      </w:r>
    </w:p>
    <w:p>
      <w:pPr>
        <w:pStyle w:val="7"/>
        <w:spacing w:before="120" w:beforeLines="50" w:after="120" w:afterLines="50" w:line="360" w:lineRule="auto"/>
        <w:rPr>
          <w:sz w:val="21"/>
          <w:szCs w:val="21"/>
        </w:rPr>
      </w:pPr>
      <w:bookmarkStart w:id="1023" w:name="_Toc532377382"/>
      <w:bookmarkStart w:id="1024" w:name="_Toc532375646"/>
      <w:r>
        <w:rPr>
          <w:rFonts w:hint="eastAsia"/>
          <w:sz w:val="21"/>
          <w:szCs w:val="21"/>
        </w:rPr>
        <w:t xml:space="preserve">12. </w:t>
      </w:r>
      <w:bookmarkEnd w:id="1001"/>
      <w:bookmarkEnd w:id="1002"/>
      <w:bookmarkEnd w:id="1003"/>
      <w:bookmarkEnd w:id="1004"/>
      <w:bookmarkEnd w:id="1005"/>
      <w:bookmarkEnd w:id="1006"/>
      <w:bookmarkEnd w:id="1007"/>
      <w:bookmarkEnd w:id="1008"/>
      <w:bookmarkEnd w:id="1009"/>
      <w:bookmarkEnd w:id="1010"/>
      <w:r>
        <w:rPr>
          <w:rFonts w:hint="eastAsia"/>
          <w:sz w:val="21"/>
          <w:szCs w:val="21"/>
        </w:rPr>
        <w:t>合同价格、计量与支付</w:t>
      </w:r>
      <w:bookmarkEnd w:id="1011"/>
      <w:bookmarkEnd w:id="1023"/>
      <w:bookmarkEnd w:id="1024"/>
    </w:p>
    <w:bookmarkEnd w:id="1012"/>
    <w:bookmarkEnd w:id="1013"/>
    <w:bookmarkEnd w:id="1014"/>
    <w:bookmarkEnd w:id="1015"/>
    <w:bookmarkEnd w:id="1016"/>
    <w:bookmarkEnd w:id="1017"/>
    <w:p>
      <w:pPr>
        <w:pStyle w:val="8"/>
        <w:spacing w:before="0" w:after="0" w:line="360" w:lineRule="auto"/>
        <w:ind w:firstLine="422" w:firstLineChars="200"/>
        <w:rPr>
          <w:sz w:val="21"/>
          <w:szCs w:val="21"/>
        </w:rPr>
      </w:pPr>
      <w:bookmarkStart w:id="1025" w:name="_Toc267251461"/>
      <w:bookmarkStart w:id="1026" w:name="_Toc292559916"/>
      <w:bookmarkStart w:id="1027" w:name="_Toc292559411"/>
      <w:bookmarkStart w:id="1028" w:name="_Toc296891246"/>
      <w:bookmarkStart w:id="1029" w:name="_Toc296346707"/>
      <w:bookmarkStart w:id="1030" w:name="_Toc297048392"/>
      <w:bookmarkStart w:id="1031" w:name="_Toc296347205"/>
      <w:bookmarkStart w:id="1032" w:name="_Toc296503206"/>
      <w:bookmarkStart w:id="1033" w:name="_Toc297120506"/>
      <w:bookmarkStart w:id="1034" w:name="_Toc296944545"/>
      <w:bookmarkStart w:id="1035" w:name="_Toc296891034"/>
      <w:bookmarkStart w:id="1036" w:name="_Toc532375647"/>
      <w:bookmarkStart w:id="1037" w:name="_Toc532377383"/>
      <w:bookmarkStart w:id="1038" w:name="_Toc304295580"/>
      <w:bookmarkStart w:id="1039" w:name="_Toc297216212"/>
      <w:bookmarkStart w:id="1040" w:name="_Toc297123553"/>
      <w:bookmarkStart w:id="1041" w:name="_Toc312678041"/>
      <w:bookmarkStart w:id="1042" w:name="_Toc300935003"/>
      <w:bookmarkStart w:id="1043" w:name="_Toc303539160"/>
      <w:r>
        <w:rPr>
          <w:rFonts w:hint="eastAsia"/>
          <w:sz w:val="21"/>
          <w:szCs w:val="21"/>
        </w:rPr>
        <w:t>12.1 合</w:t>
      </w:r>
      <w:bookmarkEnd w:id="1025"/>
      <w:bookmarkEnd w:id="1026"/>
      <w:bookmarkEnd w:id="1027"/>
      <w:r>
        <w:rPr>
          <w:rFonts w:hint="eastAsia"/>
          <w:sz w:val="21"/>
          <w:szCs w:val="21"/>
        </w:rPr>
        <w:t>同价</w:t>
      </w:r>
      <w:bookmarkEnd w:id="1028"/>
      <w:bookmarkEnd w:id="1029"/>
      <w:bookmarkEnd w:id="1030"/>
      <w:bookmarkEnd w:id="1031"/>
      <w:bookmarkEnd w:id="1032"/>
      <w:bookmarkEnd w:id="1033"/>
      <w:bookmarkEnd w:id="1034"/>
      <w:bookmarkEnd w:id="1035"/>
      <w:r>
        <w:rPr>
          <w:rFonts w:hint="eastAsia"/>
          <w:sz w:val="21"/>
          <w:szCs w:val="21"/>
        </w:rPr>
        <w:t>格形式</w:t>
      </w:r>
      <w:bookmarkEnd w:id="1036"/>
      <w:bookmarkEnd w:id="1037"/>
    </w:p>
    <w:bookmarkEnd w:id="1038"/>
    <w:bookmarkEnd w:id="1039"/>
    <w:bookmarkEnd w:id="1040"/>
    <w:bookmarkEnd w:id="1041"/>
    <w:bookmarkEnd w:id="1042"/>
    <w:bookmarkEnd w:id="1043"/>
    <w:p>
      <w:pPr>
        <w:spacing w:line="360" w:lineRule="auto"/>
        <w:ind w:firstLine="420" w:firstLineChars="200"/>
        <w:jc w:val="left"/>
        <w:rPr>
          <w:rFonts w:ascii="宋体" w:hAnsi="宋体"/>
          <w:szCs w:val="21"/>
        </w:rPr>
      </w:pPr>
      <w:r>
        <w:rPr>
          <w:rFonts w:hint="eastAsia" w:ascii="宋体" w:hAnsi="宋体"/>
          <w:szCs w:val="21"/>
        </w:rPr>
        <w:t>1、单价合同。</w:t>
      </w:r>
    </w:p>
    <w:p>
      <w:pPr>
        <w:spacing w:line="360" w:lineRule="auto"/>
        <w:ind w:firstLine="420" w:firstLineChars="200"/>
        <w:jc w:val="left"/>
        <w:rPr>
          <w:rFonts w:ascii="宋体" w:hAnsi="宋体"/>
          <w:szCs w:val="21"/>
          <w:u w:val="single"/>
        </w:rPr>
      </w:pPr>
      <w:r>
        <w:rPr>
          <w:rFonts w:hint="eastAsia" w:ascii="宋体" w:hAnsi="宋体"/>
          <w:szCs w:val="21"/>
        </w:rPr>
        <w:t>综合单价包含的风险范围：</w:t>
      </w:r>
      <w:r>
        <w:rPr>
          <w:rFonts w:hint="eastAsia" w:ascii="宋体" w:hAnsi="宋体"/>
          <w:szCs w:val="21"/>
          <w:u w:val="single"/>
        </w:rPr>
        <w:t>包括但不限于为实施和完成合同工程所需的人工费、材料费、施工机具使用费、企业管理费、利润、风险费、施工技术措施项目费、施工组织措施项目费、总承包服务费、规费和税金及缺陷修复等费用，以及</w:t>
      </w:r>
      <w:bookmarkStart w:id="1044" w:name="_Hlk528508096"/>
      <w:r>
        <w:rPr>
          <w:rFonts w:hint="eastAsia" w:ascii="宋体" w:hAnsi="宋体"/>
          <w:szCs w:val="21"/>
          <w:u w:val="single"/>
        </w:rPr>
        <w:t>约定范围内的市场价格波动风险、政策性文件规定的各项应有费用、</w:t>
      </w:r>
      <w:bookmarkEnd w:id="1044"/>
      <w:r>
        <w:rPr>
          <w:rFonts w:hint="eastAsia" w:ascii="宋体" w:hAnsi="宋体"/>
          <w:szCs w:val="21"/>
          <w:u w:val="single"/>
        </w:rPr>
        <w:t>招标文件和合同明示或暗示的应由承包人承担的所有责任、义务和风险等所需的费用</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风险费用的计算方法：</w:t>
      </w:r>
      <w:r>
        <w:rPr>
          <w:rFonts w:hint="eastAsia" w:ascii="宋体" w:hAnsi="宋体"/>
          <w:szCs w:val="21"/>
          <w:u w:val="single"/>
        </w:rPr>
        <w:t>由承包人自行考虑并计入签约合同价格中，包干使用</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风险范围以外合同价格的调整方法：</w:t>
      </w:r>
      <w:r>
        <w:rPr>
          <w:rFonts w:hint="eastAsia" w:ascii="宋体" w:hAnsi="宋体"/>
          <w:szCs w:val="21"/>
          <w:u w:val="single"/>
        </w:rPr>
        <w:t>按照合同相关条款约定执行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2、总价合同。</w:t>
      </w:r>
    </w:p>
    <w:p>
      <w:pPr>
        <w:spacing w:line="360" w:lineRule="auto"/>
        <w:ind w:firstLine="420" w:firstLineChars="200"/>
        <w:jc w:val="left"/>
        <w:rPr>
          <w:rFonts w:ascii="宋体" w:hAnsi="宋体"/>
          <w:szCs w:val="21"/>
          <w:u w:val="single"/>
        </w:rPr>
      </w:pPr>
      <w:r>
        <w:rPr>
          <w:rFonts w:hint="eastAsia" w:ascii="宋体" w:hAnsi="宋体"/>
          <w:szCs w:val="21"/>
        </w:rPr>
        <w:t>总价包含的风险范围：</w:t>
      </w:r>
      <w:r>
        <w:rPr>
          <w:rFonts w:hint="eastAsia" w:ascii="宋体" w:hAnsi="宋体"/>
          <w:szCs w:val="21"/>
          <w:u w:val="single"/>
        </w:rPr>
        <w:t>包括但不限于为实施和完成合同工程所需的人工费、材料费、施工机具使用费、企业管理费、利润、风险费、施工技术措施项目费、施工组织措施项目费、总承包服务费、规费和税金及缺陷修复等费用，以及第11.1款〔市场价格波动引起的调整〕约定范围内的市场价格波动风险、政策性文件规定的各项应有费用、招标文件和合同明示或暗示的应由承包人承担的所有责任、义务和风险等所需的费用</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风险费用的计算方法：</w:t>
      </w:r>
      <w:r>
        <w:rPr>
          <w:rFonts w:hint="eastAsia" w:ascii="宋体" w:hAnsi="宋体"/>
          <w:szCs w:val="21"/>
          <w:u w:val="single"/>
        </w:rPr>
        <w:t>由承包人自行考虑并计入签约合同价格中，包干使用</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风险范围以外合同价格的调整方法：</w:t>
      </w:r>
      <w:r>
        <w:rPr>
          <w:rFonts w:hint="eastAsia" w:ascii="宋体" w:hAnsi="宋体"/>
          <w:szCs w:val="21"/>
          <w:u w:val="single"/>
        </w:rPr>
        <w:t>按照合同相关条款约定执行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3、其他价格方式：</w:t>
      </w:r>
      <w:r>
        <w:rPr>
          <w:rFonts w:hint="eastAsia" w:ascii="宋体" w:hAnsi="宋体"/>
          <w:szCs w:val="21"/>
          <w:u w:val="single"/>
        </w:rPr>
        <w:t>不采用</w:t>
      </w:r>
      <w:r>
        <w:rPr>
          <w:rFonts w:hint="eastAsia" w:ascii="宋体" w:hAnsi="宋体"/>
          <w:szCs w:val="21"/>
        </w:rPr>
        <w:t>。</w:t>
      </w:r>
    </w:p>
    <w:p>
      <w:pPr>
        <w:pStyle w:val="8"/>
        <w:spacing w:before="0" w:after="0" w:line="360" w:lineRule="auto"/>
        <w:ind w:firstLine="422" w:firstLineChars="200"/>
        <w:rPr>
          <w:sz w:val="21"/>
          <w:szCs w:val="21"/>
        </w:rPr>
      </w:pPr>
      <w:bookmarkStart w:id="1045" w:name="_Toc532377384"/>
      <w:bookmarkStart w:id="1046" w:name="_Toc532375648"/>
      <w:bookmarkStart w:id="1047" w:name="_Toc300935004"/>
      <w:bookmarkStart w:id="1048" w:name="_Toc297123554"/>
      <w:bookmarkStart w:id="1049" w:name="_Toc297216213"/>
      <w:bookmarkStart w:id="1050" w:name="_Toc303539161"/>
      <w:bookmarkStart w:id="1051" w:name="_Toc312678042"/>
      <w:bookmarkStart w:id="1052" w:name="_Toc304295581"/>
      <w:bookmarkStart w:id="1053" w:name="_Toc296503207"/>
      <w:bookmarkStart w:id="1054" w:name="_Toc296346708"/>
      <w:bookmarkStart w:id="1055" w:name="_Toc296891247"/>
      <w:bookmarkStart w:id="1056" w:name="_Toc296944546"/>
      <w:bookmarkStart w:id="1057" w:name="_Toc296891035"/>
      <w:bookmarkStart w:id="1058" w:name="_Toc297048393"/>
      <w:bookmarkStart w:id="1059" w:name="_Toc292559917"/>
      <w:bookmarkStart w:id="1060" w:name="_Toc296347206"/>
      <w:bookmarkStart w:id="1061" w:name="_Toc292559412"/>
      <w:bookmarkStart w:id="1062" w:name="_Toc297120507"/>
      <w:r>
        <w:rPr>
          <w:rFonts w:hint="eastAsia"/>
          <w:sz w:val="21"/>
          <w:szCs w:val="21"/>
        </w:rPr>
        <w:t>12.2 预付款</w:t>
      </w:r>
      <w:bookmarkEnd w:id="1045"/>
      <w:bookmarkEnd w:id="1046"/>
    </w:p>
    <w:bookmarkEnd w:id="1047"/>
    <w:bookmarkEnd w:id="1048"/>
    <w:bookmarkEnd w:id="1049"/>
    <w:bookmarkEnd w:id="1050"/>
    <w:bookmarkEnd w:id="1051"/>
    <w:bookmarkEnd w:id="1052"/>
    <w:p>
      <w:pPr>
        <w:spacing w:line="360" w:lineRule="auto"/>
        <w:ind w:firstLine="420" w:firstLineChars="200"/>
        <w:jc w:val="left"/>
        <w:rPr>
          <w:rFonts w:ascii="宋体" w:hAnsi="宋体"/>
          <w:szCs w:val="21"/>
        </w:rPr>
      </w:pPr>
      <w:r>
        <w:rPr>
          <w:rFonts w:hint="eastAsia" w:ascii="宋体" w:hAnsi="宋体"/>
          <w:szCs w:val="21"/>
        </w:rPr>
        <w:t>12.2.1 预付款的支付：</w:t>
      </w:r>
      <w:r>
        <w:rPr>
          <w:rFonts w:hint="eastAsia" w:ascii="宋体" w:hAnsi="宋体"/>
          <w:szCs w:val="21"/>
          <w:u w:val="single"/>
        </w:rPr>
        <w:t xml:space="preserve"> 不采用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12.2.2 预付款担保：</w:t>
      </w:r>
      <w:r>
        <w:rPr>
          <w:rFonts w:hint="eastAsia" w:ascii="宋体" w:hAnsi="宋体"/>
          <w:szCs w:val="21"/>
          <w:u w:val="single"/>
        </w:rPr>
        <w:t xml:space="preserve"> 不提供 </w:t>
      </w:r>
      <w:r>
        <w:rPr>
          <w:rFonts w:hint="eastAsia" w:ascii="宋体" w:hAnsi="宋体"/>
          <w:szCs w:val="21"/>
        </w:rPr>
        <w:t>。</w:t>
      </w:r>
    </w:p>
    <w:bookmarkEnd w:id="1053"/>
    <w:bookmarkEnd w:id="1054"/>
    <w:bookmarkEnd w:id="1055"/>
    <w:bookmarkEnd w:id="1056"/>
    <w:bookmarkEnd w:id="1057"/>
    <w:bookmarkEnd w:id="1058"/>
    <w:bookmarkEnd w:id="1059"/>
    <w:bookmarkEnd w:id="1060"/>
    <w:bookmarkEnd w:id="1061"/>
    <w:bookmarkEnd w:id="1062"/>
    <w:p>
      <w:pPr>
        <w:pStyle w:val="8"/>
        <w:spacing w:before="0" w:after="0" w:line="360" w:lineRule="auto"/>
        <w:ind w:firstLine="422" w:firstLineChars="200"/>
        <w:rPr>
          <w:sz w:val="21"/>
          <w:szCs w:val="21"/>
        </w:rPr>
      </w:pPr>
      <w:bookmarkStart w:id="1063" w:name="_Toc532377385"/>
      <w:bookmarkStart w:id="1064" w:name="_Toc532375649"/>
      <w:r>
        <w:rPr>
          <w:rFonts w:hint="eastAsia"/>
          <w:sz w:val="21"/>
          <w:szCs w:val="21"/>
        </w:rPr>
        <w:t>12.3 计量</w:t>
      </w:r>
      <w:bookmarkEnd w:id="1063"/>
      <w:bookmarkEnd w:id="1064"/>
    </w:p>
    <w:p>
      <w:pPr>
        <w:spacing w:line="360" w:lineRule="auto"/>
        <w:ind w:firstLine="420" w:firstLineChars="200"/>
        <w:jc w:val="left"/>
        <w:rPr>
          <w:rFonts w:ascii="宋体" w:hAnsi="宋体"/>
          <w:szCs w:val="21"/>
        </w:rPr>
      </w:pPr>
      <w:bookmarkStart w:id="1065" w:name="_Hlk528928260"/>
      <w:r>
        <w:rPr>
          <w:rFonts w:hint="eastAsia" w:ascii="宋体" w:hAnsi="宋体"/>
          <w:szCs w:val="21"/>
        </w:rPr>
        <w:t>12.3.1 计量原则</w:t>
      </w:r>
    </w:p>
    <w:p>
      <w:pPr>
        <w:tabs>
          <w:tab w:val="left" w:pos="1134"/>
        </w:tabs>
        <w:spacing w:line="360" w:lineRule="auto"/>
        <w:ind w:firstLine="420" w:firstLineChars="200"/>
        <w:jc w:val="left"/>
        <w:rPr>
          <w:rFonts w:ascii="宋体" w:hAnsi="宋体"/>
          <w:szCs w:val="21"/>
        </w:rPr>
      </w:pPr>
      <w:r>
        <w:rPr>
          <w:rFonts w:hint="eastAsia" w:ascii="宋体" w:hAnsi="宋体"/>
          <w:szCs w:val="21"/>
        </w:rPr>
        <w:t>工程量按</w:t>
      </w:r>
      <w:r>
        <w:rPr>
          <w:rFonts w:hint="eastAsia" w:ascii="宋体" w:hAnsi="宋体" w:cs="宋体"/>
          <w:szCs w:val="21"/>
        </w:rPr>
        <w:t>《建设工程工程量清单计价规范》（GB50500-2013）、《重庆市建设工程工程量清单计价规则》（CQQDGZ-2013）、《重庆市建设工程费用定额》</w:t>
      </w:r>
      <w:r>
        <w:rPr>
          <w:rFonts w:hint="eastAsia" w:ascii="宋体" w:hAnsi="宋体" w:cs="宋体"/>
          <w:szCs w:val="21"/>
          <w:lang w:eastAsia="zh-CN"/>
        </w:rPr>
        <w:t>、</w:t>
      </w:r>
      <w:r>
        <w:rPr>
          <w:rFonts w:hint="eastAsia" w:ascii="宋体" w:hAnsi="宋体" w:cs="宋体"/>
          <w:szCs w:val="21"/>
          <w:lang w:val="en-US" w:eastAsia="zh-CN"/>
        </w:rPr>
        <w:t>2018年《重庆市市政工程计价定额》</w:t>
      </w:r>
      <w:r>
        <w:rPr>
          <w:rFonts w:hint="eastAsia"/>
        </w:rPr>
        <w:t>及其相关配套文件</w:t>
      </w:r>
      <w:r>
        <w:rPr>
          <w:rFonts w:hint="eastAsia"/>
          <w:lang w:eastAsia="zh-CN"/>
        </w:rPr>
        <w:t>、设计图纸、国家技术规范、标准及工程实际情况</w:t>
      </w:r>
      <w:r>
        <w:rPr>
          <w:rFonts w:hint="eastAsia" w:ascii="宋体" w:hAnsi="宋体"/>
          <w:szCs w:val="21"/>
        </w:rPr>
        <w:t>等规定的计算规则及已标价工程量清单规定的工程量计算规则计量。</w:t>
      </w:r>
    </w:p>
    <w:bookmarkEnd w:id="1065"/>
    <w:p>
      <w:pPr>
        <w:spacing w:line="360" w:lineRule="auto"/>
        <w:ind w:firstLine="420" w:firstLineChars="200"/>
        <w:jc w:val="left"/>
        <w:rPr>
          <w:rFonts w:ascii="宋体" w:hAnsi="宋体"/>
          <w:szCs w:val="21"/>
        </w:rPr>
      </w:pPr>
      <w:r>
        <w:rPr>
          <w:rFonts w:hint="eastAsia" w:ascii="宋体" w:hAnsi="宋体"/>
          <w:szCs w:val="21"/>
        </w:rPr>
        <w:t>12.3.2 计量周期</w:t>
      </w:r>
    </w:p>
    <w:p>
      <w:pPr>
        <w:spacing w:line="360" w:lineRule="auto"/>
        <w:ind w:firstLine="420" w:firstLineChars="200"/>
        <w:jc w:val="left"/>
        <w:rPr>
          <w:rFonts w:ascii="宋体" w:hAnsi="宋体"/>
          <w:szCs w:val="21"/>
        </w:rPr>
      </w:pPr>
      <w:r>
        <w:rPr>
          <w:rFonts w:hint="eastAsia" w:ascii="宋体" w:hAnsi="宋体"/>
          <w:szCs w:val="21"/>
        </w:rPr>
        <w:t>关于计量周期的约定：</w:t>
      </w:r>
      <w:r>
        <w:rPr>
          <w:rFonts w:hint="eastAsia" w:ascii="宋体" w:hAnsi="宋体"/>
          <w:szCs w:val="21"/>
          <w:u w:val="single"/>
        </w:rPr>
        <w:t>按月计量根据具体项目实际情况可以按月、按进度、按节点等形式计量，按进度、按节点计量的参考按月计量原则执行）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12.3.3 单价合同的计量</w:t>
      </w:r>
    </w:p>
    <w:p>
      <w:pPr>
        <w:spacing w:line="360" w:lineRule="auto"/>
        <w:ind w:firstLine="420" w:firstLineChars="200"/>
        <w:jc w:val="left"/>
        <w:rPr>
          <w:rFonts w:ascii="宋体" w:hAnsi="宋体"/>
          <w:szCs w:val="21"/>
        </w:rPr>
      </w:pPr>
      <w:r>
        <w:rPr>
          <w:rFonts w:hint="eastAsia" w:ascii="宋体" w:hAnsi="宋体"/>
          <w:szCs w:val="21"/>
        </w:rPr>
        <w:t>关于单价合同计量的约定：</w:t>
      </w:r>
    </w:p>
    <w:p>
      <w:pPr>
        <w:spacing w:line="360" w:lineRule="auto"/>
        <w:ind w:firstLine="420" w:firstLineChars="200"/>
        <w:jc w:val="left"/>
        <w:rPr>
          <w:rFonts w:ascii="宋体" w:hAnsi="宋体"/>
          <w:szCs w:val="21"/>
          <w:u w:val="single"/>
        </w:rPr>
      </w:pPr>
      <w:bookmarkStart w:id="1066" w:name="_Hlk528926162"/>
      <w:r>
        <w:rPr>
          <w:rFonts w:hint="eastAsia" w:ascii="宋体" w:hAnsi="宋体"/>
          <w:szCs w:val="21"/>
          <w:u w:val="single"/>
        </w:rPr>
        <w:t>（1）承包人应于当月 日前向监理人报送上月已完成的工程量，并附进度付款申请单、已完成工程量报表和其他有关资料</w:t>
      </w:r>
      <w:r>
        <w:rPr>
          <w:rFonts w:hint="eastAsia" w:ascii="宋体" w:hAnsi="宋体"/>
          <w:szCs w:val="21"/>
        </w:rPr>
        <w:t>。</w:t>
      </w:r>
    </w:p>
    <w:bookmarkEnd w:id="1066"/>
    <w:p>
      <w:pPr>
        <w:spacing w:line="360" w:lineRule="auto"/>
        <w:ind w:firstLine="420" w:firstLineChars="200"/>
        <w:jc w:val="left"/>
        <w:rPr>
          <w:rFonts w:ascii="宋体" w:hAnsi="宋体"/>
          <w:szCs w:val="21"/>
          <w:u w:val="single"/>
        </w:rPr>
      </w:pPr>
      <w:r>
        <w:rPr>
          <w:rFonts w:hint="eastAsia" w:ascii="宋体" w:hAnsi="宋体"/>
          <w:szCs w:val="21"/>
          <w:u w:val="single"/>
        </w:rPr>
        <w:t>（2）承包人未在已标价的工程量清单中填入单价和（或）总价的子目，视为该子目的费用已包含合同工程的其他子目的单价或总价中，不再另行计量支付</w:t>
      </w:r>
      <w:r>
        <w:rPr>
          <w:rFonts w:hint="eastAsia" w:ascii="宋体" w:hAnsi="宋体"/>
          <w:szCs w:val="21"/>
        </w:rPr>
        <w:t>。</w:t>
      </w:r>
    </w:p>
    <w:p>
      <w:pPr>
        <w:spacing w:line="440" w:lineRule="exact"/>
        <w:ind w:firstLine="420" w:firstLineChars="200"/>
        <w:jc w:val="left"/>
        <w:rPr>
          <w:rFonts w:ascii="宋体" w:hAnsi="宋体"/>
          <w:szCs w:val="21"/>
          <w:u w:val="single"/>
        </w:rPr>
      </w:pPr>
      <w:r>
        <w:rPr>
          <w:rFonts w:hint="eastAsia" w:ascii="宋体" w:hAnsi="宋体"/>
          <w:szCs w:val="21"/>
          <w:u w:val="single"/>
        </w:rPr>
        <w:t>（3）监理人应在收到承包人提交的工程量报表后7天内完成对承包人提交的工程量报表的审核并报送发包人；发包人收到监理人报送资料后7天内完成审批，以确定当月实际完成的工程量。监理人、跟审单位、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r>
        <w:rPr>
          <w:rFonts w:hint="eastAsia" w:ascii="宋体" w:hAnsi="宋体"/>
          <w:szCs w:val="21"/>
        </w:rPr>
        <w:t>。</w:t>
      </w:r>
    </w:p>
    <w:p>
      <w:pPr>
        <w:spacing w:line="440" w:lineRule="exact"/>
        <w:ind w:firstLine="420" w:firstLineChars="200"/>
        <w:jc w:val="left"/>
        <w:rPr>
          <w:rFonts w:ascii="宋体" w:hAnsi="宋体"/>
          <w:szCs w:val="21"/>
          <w:u w:val="single"/>
        </w:rPr>
      </w:pPr>
      <w:r>
        <w:rPr>
          <w:rFonts w:hint="eastAsia" w:ascii="宋体" w:hAnsi="宋体"/>
          <w:szCs w:val="21"/>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hAnsi="宋体"/>
          <w:szCs w:val="21"/>
        </w:rPr>
        <w:t>。</w:t>
      </w:r>
    </w:p>
    <w:p>
      <w:pPr>
        <w:spacing w:line="440" w:lineRule="exact"/>
        <w:ind w:firstLine="420" w:firstLineChars="200"/>
        <w:jc w:val="left"/>
        <w:rPr>
          <w:rFonts w:ascii="宋体" w:hAnsi="宋体"/>
          <w:szCs w:val="21"/>
        </w:rPr>
      </w:pPr>
      <w:r>
        <w:rPr>
          <w:rFonts w:hint="eastAsia" w:ascii="宋体" w:hAnsi="宋体"/>
          <w:szCs w:val="21"/>
        </w:rPr>
        <w:t>12.3.4 总价合同的计量</w:t>
      </w:r>
    </w:p>
    <w:p>
      <w:pPr>
        <w:spacing w:line="440" w:lineRule="exact"/>
        <w:ind w:firstLine="420" w:firstLineChars="200"/>
        <w:jc w:val="left"/>
        <w:rPr>
          <w:rFonts w:ascii="宋体" w:hAnsi="宋体"/>
          <w:szCs w:val="21"/>
        </w:rPr>
      </w:pPr>
      <w:r>
        <w:rPr>
          <w:rFonts w:hint="eastAsia" w:ascii="宋体" w:hAnsi="宋体"/>
          <w:szCs w:val="21"/>
        </w:rPr>
        <w:t>关于总价合同计量的约定：</w:t>
      </w:r>
      <w:r>
        <w:rPr>
          <w:rFonts w:hint="eastAsia" w:ascii="宋体" w:hAnsi="宋体"/>
          <w:szCs w:val="21"/>
          <w:u w:val="single"/>
        </w:rPr>
        <w:t>按形象进度比例支付</w:t>
      </w:r>
      <w:r>
        <w:rPr>
          <w:rFonts w:hint="eastAsia" w:ascii="宋体" w:hAnsi="宋体"/>
          <w:szCs w:val="21"/>
        </w:rPr>
        <w:t>。</w:t>
      </w:r>
    </w:p>
    <w:p>
      <w:pPr>
        <w:spacing w:line="440" w:lineRule="exact"/>
        <w:ind w:firstLine="420" w:firstLineChars="200"/>
        <w:jc w:val="left"/>
        <w:rPr>
          <w:rFonts w:ascii="宋体" w:hAnsi="宋体"/>
          <w:szCs w:val="21"/>
        </w:rPr>
      </w:pPr>
      <w:r>
        <w:rPr>
          <w:rFonts w:hint="eastAsia" w:ascii="宋体" w:hAnsi="宋体"/>
          <w:szCs w:val="21"/>
        </w:rPr>
        <w:t>12.3.5总价合同采用支付分解表计量支付的，是否适用第12.3.4项〔总价合同的计量〕约定进行计量：</w:t>
      </w:r>
      <w:r>
        <w:rPr>
          <w:rFonts w:hint="eastAsia" w:ascii="宋体" w:hAnsi="宋体"/>
          <w:szCs w:val="21"/>
          <w:u w:val="single"/>
        </w:rPr>
        <w:t>适用</w:t>
      </w:r>
      <w:r>
        <w:rPr>
          <w:rFonts w:hint="eastAsia" w:ascii="宋体" w:hAnsi="宋体"/>
          <w:szCs w:val="21"/>
        </w:rPr>
        <w:t>。</w:t>
      </w:r>
    </w:p>
    <w:p>
      <w:pPr>
        <w:spacing w:line="440" w:lineRule="exact"/>
        <w:ind w:firstLine="420" w:firstLineChars="200"/>
        <w:jc w:val="left"/>
        <w:rPr>
          <w:rFonts w:ascii="宋体" w:hAnsi="宋体"/>
          <w:szCs w:val="21"/>
        </w:rPr>
      </w:pPr>
      <w:r>
        <w:rPr>
          <w:rFonts w:hint="eastAsia" w:ascii="宋体" w:hAnsi="宋体"/>
          <w:szCs w:val="21"/>
        </w:rPr>
        <w:t>12.3.6 其他价格形式合同的计量</w:t>
      </w:r>
    </w:p>
    <w:p>
      <w:pPr>
        <w:spacing w:line="440" w:lineRule="exact"/>
        <w:ind w:firstLine="420" w:firstLineChars="200"/>
        <w:jc w:val="left"/>
        <w:rPr>
          <w:rFonts w:ascii="宋体" w:hAnsi="宋体"/>
          <w:szCs w:val="21"/>
        </w:rPr>
      </w:pPr>
      <w:r>
        <w:rPr>
          <w:rFonts w:hint="eastAsia" w:ascii="宋体" w:hAnsi="宋体"/>
          <w:szCs w:val="21"/>
        </w:rPr>
        <w:t>其他价格形式的计量方式和程序：</w:t>
      </w:r>
      <w:r>
        <w:rPr>
          <w:rFonts w:hint="eastAsia" w:ascii="宋体" w:hAnsi="宋体"/>
          <w:szCs w:val="21"/>
          <w:u w:val="single"/>
        </w:rPr>
        <w:t>不采用</w:t>
      </w:r>
      <w:r>
        <w:rPr>
          <w:rFonts w:hint="eastAsia" w:ascii="宋体" w:hAnsi="宋体"/>
          <w:szCs w:val="21"/>
        </w:rPr>
        <w:t>。</w:t>
      </w:r>
    </w:p>
    <w:p>
      <w:pPr>
        <w:pStyle w:val="8"/>
        <w:keepNext w:val="0"/>
        <w:keepLines w:val="0"/>
        <w:spacing w:before="0" w:after="0" w:line="440" w:lineRule="exact"/>
        <w:ind w:firstLine="422" w:firstLineChars="200"/>
        <w:rPr>
          <w:sz w:val="21"/>
          <w:szCs w:val="21"/>
        </w:rPr>
      </w:pPr>
      <w:bookmarkStart w:id="1067" w:name="_Toc532377386"/>
      <w:bookmarkStart w:id="1068" w:name="_Toc532375650"/>
      <w:bookmarkStart w:id="1069" w:name="_Hlk528928289"/>
      <w:r>
        <w:rPr>
          <w:rFonts w:hint="eastAsia"/>
          <w:sz w:val="21"/>
          <w:szCs w:val="21"/>
        </w:rPr>
        <w:t>12.4 工程进度款支付</w:t>
      </w:r>
      <w:bookmarkEnd w:id="1067"/>
      <w:bookmarkEnd w:id="1068"/>
    </w:p>
    <w:bookmarkEnd w:id="1069"/>
    <w:p>
      <w:pPr>
        <w:spacing w:line="440" w:lineRule="exact"/>
        <w:ind w:firstLine="420" w:firstLineChars="200"/>
        <w:jc w:val="left"/>
        <w:rPr>
          <w:rFonts w:ascii="宋体" w:hAnsi="宋体"/>
          <w:szCs w:val="21"/>
        </w:rPr>
      </w:pPr>
      <w:r>
        <w:rPr>
          <w:rFonts w:hint="eastAsia" w:ascii="宋体" w:hAnsi="宋体"/>
          <w:szCs w:val="21"/>
        </w:rPr>
        <w:t>12.4.1 付款周期</w:t>
      </w:r>
    </w:p>
    <w:p>
      <w:pPr>
        <w:spacing w:line="440" w:lineRule="exact"/>
        <w:ind w:firstLine="420" w:firstLineChars="200"/>
        <w:jc w:val="left"/>
        <w:rPr>
          <w:rFonts w:ascii="宋体" w:hAnsi="宋体"/>
          <w:szCs w:val="21"/>
        </w:rPr>
      </w:pPr>
      <w:r>
        <w:rPr>
          <w:rFonts w:hint="eastAsia" w:ascii="宋体" w:hAnsi="宋体"/>
          <w:szCs w:val="21"/>
        </w:rPr>
        <w:t>关于付款周期的约定：</w:t>
      </w:r>
      <w:r>
        <w:rPr>
          <w:rFonts w:hint="eastAsia" w:ascii="宋体" w:hAnsi="宋体"/>
          <w:szCs w:val="21"/>
          <w:u w:val="single"/>
        </w:rPr>
        <w:t>按月计量支付进度款（按进度、按节点计量支付进度款的参考按月计量支付进度款原则执行）</w:t>
      </w:r>
      <w:r>
        <w:rPr>
          <w:rFonts w:hint="eastAsia" w:ascii="宋体" w:hAnsi="宋体"/>
          <w:szCs w:val="21"/>
        </w:rPr>
        <w:t>。</w:t>
      </w:r>
    </w:p>
    <w:p>
      <w:pPr>
        <w:spacing w:line="440" w:lineRule="exact"/>
        <w:ind w:firstLine="420" w:firstLineChars="200"/>
        <w:jc w:val="left"/>
        <w:rPr>
          <w:rFonts w:ascii="宋体" w:hAnsi="宋体"/>
          <w:szCs w:val="21"/>
        </w:rPr>
      </w:pPr>
      <w:r>
        <w:rPr>
          <w:rFonts w:hint="eastAsia" w:ascii="宋体" w:hAnsi="宋体"/>
          <w:szCs w:val="21"/>
        </w:rPr>
        <w:t>12.4.2 进度付款申请单的编制</w:t>
      </w:r>
    </w:p>
    <w:p>
      <w:pPr>
        <w:spacing w:line="440" w:lineRule="exact"/>
        <w:ind w:firstLine="420" w:firstLineChars="200"/>
        <w:jc w:val="left"/>
        <w:rPr>
          <w:rFonts w:ascii="宋体" w:hAnsi="宋体"/>
          <w:szCs w:val="21"/>
        </w:rPr>
      </w:pPr>
      <w:r>
        <w:rPr>
          <w:rFonts w:hint="eastAsia" w:ascii="宋体" w:hAnsi="宋体"/>
          <w:szCs w:val="21"/>
        </w:rPr>
        <w:t>进度付款申请单应包括下列内容：</w:t>
      </w:r>
    </w:p>
    <w:p>
      <w:pPr>
        <w:spacing w:line="440" w:lineRule="exact"/>
        <w:ind w:firstLine="420" w:firstLineChars="200"/>
        <w:jc w:val="left"/>
        <w:rPr>
          <w:rFonts w:ascii="宋体" w:hAnsi="宋体"/>
          <w:szCs w:val="21"/>
        </w:rPr>
      </w:pPr>
      <w:r>
        <w:rPr>
          <w:rFonts w:hint="eastAsia" w:ascii="宋体" w:hAnsi="宋体"/>
          <w:szCs w:val="21"/>
          <w:u w:val="single"/>
        </w:rPr>
        <w:t>（1）截至本次付款周期已完成工作对应的金额</w:t>
      </w:r>
      <w:r>
        <w:rPr>
          <w:rFonts w:hint="eastAsia" w:ascii="宋体" w:hAnsi="宋体"/>
          <w:szCs w:val="21"/>
        </w:rPr>
        <w:t>；</w:t>
      </w:r>
    </w:p>
    <w:p>
      <w:pPr>
        <w:spacing w:line="440" w:lineRule="exact"/>
        <w:ind w:firstLine="420" w:firstLineChars="200"/>
        <w:jc w:val="left"/>
        <w:rPr>
          <w:rFonts w:ascii="宋体" w:hAnsi="宋体"/>
          <w:szCs w:val="21"/>
        </w:rPr>
      </w:pPr>
      <w:r>
        <w:rPr>
          <w:rFonts w:hint="eastAsia" w:ascii="宋体" w:hAnsi="宋体"/>
          <w:szCs w:val="21"/>
          <w:u w:val="single"/>
        </w:rPr>
        <w:t>（2）根据第10条〔变更〕应增加和扣减的已审定变更金额</w:t>
      </w:r>
      <w:r>
        <w:rPr>
          <w:rFonts w:hint="eastAsia" w:ascii="宋体" w:hAnsi="宋体"/>
          <w:szCs w:val="21"/>
        </w:rPr>
        <w:t>；</w:t>
      </w:r>
    </w:p>
    <w:p>
      <w:pPr>
        <w:spacing w:line="440" w:lineRule="exact"/>
        <w:ind w:firstLine="420" w:firstLineChars="200"/>
        <w:jc w:val="left"/>
        <w:rPr>
          <w:rFonts w:ascii="宋体" w:hAnsi="宋体"/>
          <w:szCs w:val="21"/>
        </w:rPr>
      </w:pPr>
      <w:r>
        <w:rPr>
          <w:rFonts w:hint="eastAsia" w:ascii="宋体" w:hAnsi="宋体"/>
          <w:szCs w:val="21"/>
          <w:u w:val="single"/>
        </w:rPr>
        <w:t>（3）根据第12.2款〔预付款〕约定应支付的预付款和扣减的返还预付款</w:t>
      </w:r>
      <w:r>
        <w:rPr>
          <w:rFonts w:hint="eastAsia" w:ascii="宋体" w:hAnsi="宋体"/>
          <w:szCs w:val="21"/>
        </w:rPr>
        <w:t>；</w:t>
      </w:r>
    </w:p>
    <w:p>
      <w:pPr>
        <w:spacing w:line="440" w:lineRule="exact"/>
        <w:ind w:firstLine="420" w:firstLineChars="200"/>
        <w:jc w:val="left"/>
        <w:rPr>
          <w:rFonts w:ascii="宋体" w:hAnsi="宋体"/>
          <w:szCs w:val="21"/>
        </w:rPr>
      </w:pPr>
      <w:r>
        <w:rPr>
          <w:rFonts w:hint="eastAsia" w:ascii="宋体" w:hAnsi="宋体"/>
          <w:szCs w:val="21"/>
          <w:u w:val="single"/>
        </w:rPr>
        <w:t>（4）根据第15.3款〔质量保证金〕约定应扣减的质量保证金</w:t>
      </w:r>
      <w:r>
        <w:rPr>
          <w:rFonts w:hint="eastAsia" w:ascii="宋体" w:hAnsi="宋体"/>
          <w:szCs w:val="21"/>
        </w:rPr>
        <w:t>；</w:t>
      </w:r>
    </w:p>
    <w:p>
      <w:pPr>
        <w:spacing w:line="440" w:lineRule="exact"/>
        <w:ind w:firstLine="420" w:firstLineChars="200"/>
        <w:jc w:val="left"/>
        <w:rPr>
          <w:rFonts w:ascii="宋体" w:hAnsi="宋体"/>
          <w:szCs w:val="21"/>
        </w:rPr>
      </w:pPr>
      <w:r>
        <w:rPr>
          <w:rFonts w:hint="eastAsia" w:ascii="宋体" w:hAnsi="宋体"/>
          <w:szCs w:val="21"/>
          <w:u w:val="single"/>
        </w:rPr>
        <w:t>（5）根据第19条〔索赔〕应增加和扣减的已审定索赔金额</w:t>
      </w:r>
      <w:r>
        <w:rPr>
          <w:rFonts w:hint="eastAsia" w:ascii="宋体" w:hAnsi="宋体"/>
          <w:szCs w:val="21"/>
        </w:rPr>
        <w:t>；</w:t>
      </w:r>
    </w:p>
    <w:p>
      <w:pPr>
        <w:spacing w:line="440" w:lineRule="exact"/>
        <w:ind w:firstLine="420" w:firstLineChars="200"/>
        <w:jc w:val="left"/>
        <w:rPr>
          <w:rFonts w:ascii="宋体" w:hAnsi="宋体"/>
          <w:szCs w:val="21"/>
        </w:rPr>
      </w:pPr>
      <w:r>
        <w:rPr>
          <w:rFonts w:hint="eastAsia" w:ascii="宋体" w:hAnsi="宋体"/>
          <w:szCs w:val="21"/>
          <w:u w:val="single"/>
        </w:rPr>
        <w:t>（6）根据第11条〔价格调整〕应增加和扣减的价格调整金额</w:t>
      </w:r>
      <w:r>
        <w:rPr>
          <w:rFonts w:hint="eastAsia" w:ascii="宋体" w:hAnsi="宋体"/>
          <w:szCs w:val="21"/>
        </w:rPr>
        <w:t>；</w:t>
      </w:r>
    </w:p>
    <w:p>
      <w:pPr>
        <w:spacing w:line="440" w:lineRule="exact"/>
        <w:ind w:firstLine="420" w:firstLineChars="200"/>
        <w:jc w:val="left"/>
        <w:rPr>
          <w:rFonts w:ascii="宋体" w:hAnsi="宋体"/>
          <w:szCs w:val="21"/>
        </w:rPr>
      </w:pPr>
      <w:r>
        <w:rPr>
          <w:rFonts w:hint="eastAsia" w:ascii="宋体" w:hAnsi="宋体"/>
          <w:szCs w:val="21"/>
          <w:u w:val="single"/>
        </w:rPr>
        <w:t>（7）对已签发的进度款支付证书中出现错误的修正，应在本次进度付款中支付或扣除的金额</w:t>
      </w:r>
      <w:r>
        <w:rPr>
          <w:rFonts w:hint="eastAsia" w:ascii="宋体" w:hAnsi="宋体"/>
          <w:szCs w:val="21"/>
        </w:rPr>
        <w:t>；</w:t>
      </w:r>
    </w:p>
    <w:p>
      <w:pPr>
        <w:spacing w:line="440" w:lineRule="exact"/>
        <w:ind w:firstLine="420" w:firstLineChars="200"/>
        <w:jc w:val="left"/>
        <w:rPr>
          <w:rFonts w:ascii="宋体" w:hAnsi="宋体"/>
          <w:szCs w:val="21"/>
        </w:rPr>
      </w:pPr>
      <w:r>
        <w:rPr>
          <w:rFonts w:hint="eastAsia" w:ascii="宋体" w:hAnsi="宋体"/>
          <w:szCs w:val="21"/>
          <w:u w:val="single"/>
        </w:rPr>
        <w:t>（8）根据合同约定承包人应向发包人支付的违约金</w:t>
      </w:r>
      <w:r>
        <w:rPr>
          <w:rFonts w:hint="eastAsia" w:ascii="宋体" w:hAnsi="宋体"/>
          <w:szCs w:val="21"/>
        </w:rPr>
        <w:t>；</w:t>
      </w:r>
    </w:p>
    <w:p>
      <w:pPr>
        <w:spacing w:line="440" w:lineRule="exact"/>
        <w:ind w:firstLine="420" w:firstLineChars="200"/>
        <w:jc w:val="left"/>
        <w:rPr>
          <w:rFonts w:ascii="宋体" w:hAnsi="宋体"/>
          <w:szCs w:val="21"/>
        </w:rPr>
      </w:pPr>
      <w:r>
        <w:rPr>
          <w:rFonts w:hint="eastAsia" w:ascii="宋体" w:hAnsi="宋体"/>
          <w:szCs w:val="21"/>
          <w:u w:val="single"/>
        </w:rPr>
        <w:t>（9）根据合同约定发包人应向承包人支付的违约金和（或）奖励</w:t>
      </w:r>
      <w:r>
        <w:rPr>
          <w:rFonts w:hint="eastAsia" w:ascii="宋体" w:hAnsi="宋体"/>
          <w:szCs w:val="21"/>
        </w:rPr>
        <w:t>；</w:t>
      </w:r>
    </w:p>
    <w:p>
      <w:pPr>
        <w:spacing w:line="440" w:lineRule="exact"/>
        <w:ind w:firstLine="420" w:firstLineChars="200"/>
        <w:jc w:val="left"/>
        <w:rPr>
          <w:rFonts w:ascii="宋体" w:hAnsi="宋体"/>
          <w:szCs w:val="21"/>
        </w:rPr>
      </w:pPr>
      <w:r>
        <w:rPr>
          <w:rFonts w:hint="eastAsia" w:ascii="宋体" w:hAnsi="宋体"/>
          <w:szCs w:val="21"/>
          <w:u w:val="single"/>
        </w:rPr>
        <w:t>（10）根据合同约定应增加和扣减的其他金额</w:t>
      </w:r>
      <w:r>
        <w:rPr>
          <w:rFonts w:hint="eastAsia" w:ascii="宋体" w:hAnsi="宋体"/>
          <w:szCs w:val="21"/>
        </w:rPr>
        <w:t>；</w:t>
      </w:r>
    </w:p>
    <w:p>
      <w:pPr>
        <w:spacing w:line="440" w:lineRule="exact"/>
        <w:ind w:firstLine="420" w:firstLineChars="200"/>
        <w:jc w:val="left"/>
        <w:rPr>
          <w:rFonts w:ascii="宋体" w:hAnsi="宋体"/>
          <w:szCs w:val="21"/>
          <w:u w:val="single"/>
        </w:rPr>
      </w:pPr>
      <w:r>
        <w:rPr>
          <w:rFonts w:hint="eastAsia" w:ascii="宋体" w:hAnsi="宋体"/>
          <w:szCs w:val="21"/>
          <w:u w:val="single"/>
        </w:rPr>
        <w:t>（11）当月应支付的人工费（工资款）金额</w:t>
      </w:r>
      <w:r>
        <w:rPr>
          <w:rFonts w:hint="eastAsia" w:ascii="宋体" w:hAnsi="宋体"/>
          <w:szCs w:val="21"/>
        </w:rPr>
        <w:t>。</w:t>
      </w:r>
    </w:p>
    <w:p>
      <w:pPr>
        <w:spacing w:line="440" w:lineRule="exact"/>
        <w:ind w:firstLine="420" w:firstLineChars="200"/>
        <w:jc w:val="left"/>
        <w:rPr>
          <w:rFonts w:ascii="宋体" w:hAnsi="宋体"/>
          <w:szCs w:val="21"/>
        </w:rPr>
      </w:pPr>
      <w:r>
        <w:rPr>
          <w:rFonts w:hint="eastAsia" w:ascii="宋体" w:hAnsi="宋体"/>
          <w:szCs w:val="21"/>
        </w:rPr>
        <w:t>12.4.3 进度付款申请单的提交</w:t>
      </w:r>
    </w:p>
    <w:p>
      <w:pPr>
        <w:spacing w:line="440" w:lineRule="exact"/>
        <w:ind w:firstLine="420" w:firstLineChars="200"/>
        <w:jc w:val="left"/>
        <w:rPr>
          <w:rFonts w:ascii="宋体" w:hAnsi="宋体"/>
          <w:szCs w:val="21"/>
          <w:u w:val="single"/>
        </w:rPr>
      </w:pPr>
      <w:r>
        <w:rPr>
          <w:rFonts w:hint="eastAsia" w:ascii="宋体" w:hAnsi="宋体"/>
          <w:szCs w:val="21"/>
        </w:rPr>
        <w:t>（1）单价合同进度付款申请单提交的约定：</w:t>
      </w:r>
      <w:r>
        <w:rPr>
          <w:rFonts w:hint="eastAsia" w:ascii="宋体" w:hAnsi="宋体"/>
          <w:szCs w:val="21"/>
          <w:u w:val="single"/>
        </w:rPr>
        <w:t>按照第12.3.3项〔单价合同的计量〕约定的时间按月向监理人提交，并附上已完成工程量报表、经审核的农民工工资发放的情况说明及有关资料。单价合同中的总价子目按工程形象进度分月计量后汇总列入当期进度付款申请单</w:t>
      </w:r>
      <w:r>
        <w:rPr>
          <w:rFonts w:hint="eastAsia" w:ascii="宋体" w:hAnsi="宋体"/>
          <w:szCs w:val="21"/>
        </w:rPr>
        <w:t>。</w:t>
      </w:r>
    </w:p>
    <w:p>
      <w:pPr>
        <w:spacing w:line="440" w:lineRule="exact"/>
        <w:ind w:firstLine="420" w:firstLineChars="200"/>
        <w:jc w:val="left"/>
        <w:rPr>
          <w:rFonts w:ascii="宋体" w:hAnsi="宋体"/>
          <w:szCs w:val="21"/>
          <w:u w:val="single"/>
        </w:rPr>
      </w:pPr>
      <w:r>
        <w:rPr>
          <w:rFonts w:hint="eastAsia" w:ascii="宋体" w:hAnsi="宋体"/>
          <w:szCs w:val="21"/>
        </w:rPr>
        <w:t>（2）总价合同进度付款申请单提交的约定：</w:t>
      </w:r>
      <w:r>
        <w:rPr>
          <w:rFonts w:hint="eastAsia" w:ascii="宋体" w:hAnsi="宋体"/>
          <w:szCs w:val="21"/>
          <w:u w:val="single"/>
        </w:rPr>
        <w:t>按照合同约定的形象进度的计量约定的时间向监理人提交，并附上已完成工程量报表、经审核的农民工工资发放的情况说明及有关资料</w:t>
      </w:r>
      <w:r>
        <w:rPr>
          <w:rFonts w:hint="eastAsia" w:ascii="宋体" w:hAnsi="宋体"/>
          <w:szCs w:val="21"/>
        </w:rPr>
        <w:t>。</w:t>
      </w:r>
    </w:p>
    <w:p>
      <w:pPr>
        <w:spacing w:line="440" w:lineRule="exact"/>
        <w:ind w:firstLine="420" w:firstLineChars="200"/>
        <w:jc w:val="left"/>
        <w:rPr>
          <w:rFonts w:ascii="宋体" w:hAnsi="宋体"/>
          <w:szCs w:val="21"/>
          <w:u w:val="single"/>
        </w:rPr>
      </w:pPr>
      <w:r>
        <w:rPr>
          <w:rFonts w:hint="eastAsia" w:ascii="宋体" w:hAnsi="宋体"/>
          <w:szCs w:val="21"/>
        </w:rPr>
        <w:t>（3）其他价格形式合同进度付款申请单提交的约定：</w:t>
      </w:r>
      <w:r>
        <w:rPr>
          <w:rFonts w:hint="eastAsia" w:ascii="宋体" w:hAnsi="宋体"/>
          <w:szCs w:val="21"/>
          <w:u w:val="single"/>
        </w:rPr>
        <w:t>不采用</w:t>
      </w:r>
      <w:r>
        <w:rPr>
          <w:rFonts w:hint="eastAsia" w:ascii="宋体" w:hAnsi="宋体"/>
          <w:szCs w:val="21"/>
        </w:rPr>
        <w:t>。</w:t>
      </w:r>
    </w:p>
    <w:p>
      <w:pPr>
        <w:spacing w:line="440" w:lineRule="exact"/>
        <w:ind w:firstLine="420" w:firstLineChars="200"/>
        <w:jc w:val="left"/>
        <w:rPr>
          <w:rFonts w:ascii="宋体" w:hAnsi="宋体"/>
          <w:szCs w:val="21"/>
        </w:rPr>
      </w:pPr>
      <w:r>
        <w:rPr>
          <w:rFonts w:hint="eastAsia" w:ascii="宋体" w:hAnsi="宋体"/>
          <w:szCs w:val="21"/>
        </w:rPr>
        <w:t>12.4.4 进度款审核和支付</w:t>
      </w:r>
    </w:p>
    <w:p>
      <w:pPr>
        <w:spacing w:line="440" w:lineRule="exact"/>
        <w:ind w:firstLine="420" w:firstLineChars="200"/>
        <w:jc w:val="left"/>
        <w:rPr>
          <w:rFonts w:ascii="宋体" w:hAnsi="宋体"/>
          <w:szCs w:val="21"/>
          <w:u w:val="single"/>
        </w:rPr>
      </w:pPr>
      <w:r>
        <w:rPr>
          <w:rFonts w:hint="eastAsia" w:ascii="宋体" w:hAnsi="宋体"/>
          <w:szCs w:val="21"/>
        </w:rPr>
        <w:t>（1）监理人审查并报送发包人的期限：</w:t>
      </w:r>
      <w:r>
        <w:rPr>
          <w:rFonts w:hint="eastAsia" w:ascii="宋体" w:hAnsi="宋体"/>
          <w:szCs w:val="21"/>
          <w:u w:val="single"/>
        </w:rPr>
        <w:t>收到完整资料后7天内</w:t>
      </w:r>
      <w:r>
        <w:rPr>
          <w:rFonts w:hint="eastAsia" w:ascii="宋体" w:hAnsi="宋体"/>
          <w:szCs w:val="21"/>
        </w:rPr>
        <w:t>。</w:t>
      </w:r>
    </w:p>
    <w:p>
      <w:pPr>
        <w:spacing w:line="440" w:lineRule="exact"/>
        <w:ind w:firstLine="420" w:firstLineChars="200"/>
        <w:jc w:val="left"/>
        <w:rPr>
          <w:rFonts w:ascii="宋体" w:hAnsi="宋体"/>
          <w:szCs w:val="21"/>
          <w:u w:val="single"/>
        </w:rPr>
      </w:pPr>
      <w:r>
        <w:rPr>
          <w:rFonts w:hint="eastAsia" w:ascii="宋体" w:hAnsi="宋体"/>
          <w:szCs w:val="21"/>
        </w:rPr>
        <w:t>发包人完成审批并签发进度款支付证书的期限：</w:t>
      </w:r>
      <w:r>
        <w:rPr>
          <w:rFonts w:hint="eastAsia" w:ascii="宋体" w:hAnsi="宋体"/>
          <w:szCs w:val="21"/>
          <w:u w:val="single"/>
        </w:rPr>
        <w:t>发包人收到监理人报送资料后7天内完成审批并签发进度款支付证书</w:t>
      </w:r>
      <w:r>
        <w:rPr>
          <w:rFonts w:hint="eastAsia" w:ascii="宋体" w:hAnsi="宋体"/>
          <w:szCs w:val="21"/>
        </w:rPr>
        <w:t>。</w:t>
      </w:r>
    </w:p>
    <w:p>
      <w:pPr>
        <w:spacing w:line="440" w:lineRule="exact"/>
        <w:ind w:firstLine="420" w:firstLineChars="200"/>
        <w:jc w:val="left"/>
        <w:rPr>
          <w:rFonts w:ascii="宋体" w:hAnsi="宋体"/>
          <w:szCs w:val="21"/>
          <w:u w:val="single"/>
        </w:rPr>
      </w:pPr>
      <w:r>
        <w:rPr>
          <w:rFonts w:hint="eastAsia" w:ascii="宋体" w:hAnsi="宋体"/>
          <w:szCs w:val="21"/>
          <w:u w:val="single"/>
        </w:rPr>
        <w:t>监理人、跟审单位和发包人中任一方对承包人的进度付款申请单有异议的，均有权要求承包人修正和提供补充资料，承包人应提交修正后的进度付款申请单。监理人应在收到承包人修正后的进度付款申请单及相关资料后7天内完成审查并报送发包人，发包人收到监理人报送资料后7天内完成审批并向承包人签发无异议部分的临时进度款支付证书。存在争议的部分，按照合同约定的争议解决的约定处理。</w:t>
      </w:r>
    </w:p>
    <w:p>
      <w:pPr>
        <w:spacing w:line="440" w:lineRule="exact"/>
        <w:ind w:firstLine="420" w:firstLineChars="200"/>
        <w:jc w:val="left"/>
        <w:rPr>
          <w:rFonts w:ascii="宋体" w:hAnsi="宋体"/>
          <w:szCs w:val="21"/>
          <w:u w:val="single"/>
        </w:rPr>
      </w:pPr>
      <w:r>
        <w:rPr>
          <w:rFonts w:hint="eastAsia" w:ascii="宋体" w:hAnsi="宋体"/>
          <w:szCs w:val="21"/>
          <w:u w:val="single"/>
        </w:rPr>
        <w:t>发包人签发进度款支付证书或临时进度款支付证书，不表明发包人已同意、批准或接受了承包人完成的相应部分的工作。</w:t>
      </w:r>
    </w:p>
    <w:p>
      <w:pPr>
        <w:numPr>
          <w:ilvl w:val="0"/>
          <w:numId w:val="5"/>
        </w:numPr>
        <w:spacing w:line="440" w:lineRule="exact"/>
        <w:ind w:firstLine="420"/>
        <w:jc w:val="left"/>
        <w:rPr>
          <w:rFonts w:ascii="宋体" w:hAnsi="宋体"/>
          <w:szCs w:val="21"/>
        </w:rPr>
      </w:pPr>
      <w:r>
        <w:rPr>
          <w:rFonts w:hint="eastAsia" w:ascii="宋体" w:hAnsi="宋体"/>
          <w:szCs w:val="21"/>
        </w:rPr>
        <w:t>进度款支付：</w:t>
      </w:r>
    </w:p>
    <w:p>
      <w:pPr>
        <w:spacing w:line="440" w:lineRule="exact"/>
        <w:ind w:firstLine="420" w:firstLineChars="200"/>
        <w:jc w:val="left"/>
        <w:rPr>
          <w:rFonts w:ascii="宋体" w:hAnsi="宋体" w:cs="宋体"/>
          <w:szCs w:val="21"/>
        </w:rPr>
      </w:pPr>
      <w:bookmarkStart w:id="1070" w:name="_Toc532377387"/>
      <w:bookmarkStart w:id="1071" w:name="_Toc351203585"/>
      <w:r>
        <w:rPr>
          <w:rFonts w:hint="eastAsia" w:ascii="宋体" w:hAnsi="宋体" w:cs="宋体"/>
          <w:szCs w:val="21"/>
        </w:rPr>
        <w:t>①付款周期</w:t>
      </w:r>
    </w:p>
    <w:p>
      <w:pPr>
        <w:spacing w:line="440" w:lineRule="exact"/>
        <w:ind w:firstLine="420" w:firstLineChars="200"/>
        <w:jc w:val="left"/>
        <w:rPr>
          <w:rFonts w:ascii="宋体" w:hAnsi="宋体" w:cs="宋体"/>
          <w:szCs w:val="21"/>
        </w:rPr>
      </w:pPr>
      <w:r>
        <w:rPr>
          <w:rFonts w:hint="eastAsia" w:ascii="宋体" w:hAnsi="宋体" w:cs="宋体"/>
          <w:szCs w:val="21"/>
        </w:rPr>
        <w:t>关于付款周期的约定：</w:t>
      </w:r>
      <w:r>
        <w:rPr>
          <w:rFonts w:hint="eastAsia" w:ascii="宋体" w:hAnsi="宋体" w:cs="宋体"/>
          <w:szCs w:val="21"/>
          <w:u w:val="single"/>
        </w:rPr>
        <w:t xml:space="preserve">  按发包人要求  </w:t>
      </w:r>
      <w:r>
        <w:rPr>
          <w:rFonts w:hint="eastAsia" w:ascii="宋体" w:hAnsi="宋体" w:cs="宋体"/>
          <w:szCs w:val="21"/>
        </w:rPr>
        <w:t>。</w:t>
      </w:r>
    </w:p>
    <w:p>
      <w:pPr>
        <w:tabs>
          <w:tab w:val="center" w:pos="4737"/>
        </w:tabs>
        <w:spacing w:line="440" w:lineRule="exact"/>
        <w:ind w:firstLine="420" w:firstLineChars="200"/>
        <w:rPr>
          <w:rFonts w:hint="eastAsia" w:ascii="宋体" w:hAnsi="宋体" w:cs="宋体"/>
          <w:szCs w:val="21"/>
        </w:rPr>
      </w:pPr>
      <w:r>
        <w:rPr>
          <w:rFonts w:hint="eastAsia" w:ascii="宋体" w:hAnsi="宋体" w:cs="宋体"/>
          <w:szCs w:val="21"/>
        </w:rPr>
        <w:t>工程完工后支付双方认可的实际完成工程计量价的70%，苗木养护期及缺陷责任期（12个月）满且竣工验收合格后送结算审计，结算审计完成后360天内付至审定金额的100%。</w:t>
      </w:r>
    </w:p>
    <w:p>
      <w:pPr>
        <w:tabs>
          <w:tab w:val="center" w:pos="4737"/>
        </w:tabs>
        <w:spacing w:line="440" w:lineRule="exact"/>
        <w:ind w:firstLine="420" w:firstLineChars="200"/>
        <w:rPr>
          <w:rFonts w:ascii="宋体" w:hAnsi="宋体" w:cs="宋体"/>
          <w:szCs w:val="21"/>
        </w:rPr>
      </w:pPr>
      <w:r>
        <w:rPr>
          <w:rFonts w:hint="eastAsia" w:ascii="宋体" w:hAnsi="宋体" w:cs="宋体"/>
          <w:szCs w:val="21"/>
        </w:rPr>
        <w:t>② 进度付款申请单的编制</w:t>
      </w:r>
    </w:p>
    <w:p>
      <w:pPr>
        <w:spacing w:line="440" w:lineRule="exact"/>
        <w:jc w:val="left"/>
        <w:rPr>
          <w:rFonts w:ascii="宋体" w:hAnsi="宋体" w:cs="宋体"/>
          <w:szCs w:val="21"/>
        </w:rPr>
      </w:pPr>
      <w:r>
        <w:rPr>
          <w:rFonts w:hint="eastAsia" w:ascii="宋体" w:hAnsi="宋体" w:cs="宋体"/>
          <w:szCs w:val="21"/>
        </w:rPr>
        <w:t>关于进度付款申请单编制的约定：</w:t>
      </w:r>
      <w:r>
        <w:rPr>
          <w:rFonts w:hint="eastAsia" w:ascii="宋体" w:hAnsi="宋体" w:cs="宋体"/>
          <w:szCs w:val="21"/>
          <w:u w:val="single"/>
        </w:rPr>
        <w:t xml:space="preserve">  按发包人要求  </w:t>
      </w:r>
      <w:r>
        <w:rPr>
          <w:rFonts w:hint="eastAsia" w:ascii="宋体" w:hAnsi="宋体" w:cs="宋体"/>
          <w:szCs w:val="21"/>
        </w:rPr>
        <w:t>。</w:t>
      </w:r>
    </w:p>
    <w:p>
      <w:pPr>
        <w:spacing w:line="440" w:lineRule="exact"/>
        <w:ind w:firstLine="420" w:firstLineChars="200"/>
        <w:jc w:val="left"/>
        <w:rPr>
          <w:rFonts w:ascii="宋体" w:hAnsi="宋体" w:cs="宋体"/>
          <w:szCs w:val="21"/>
        </w:rPr>
      </w:pPr>
      <w:r>
        <w:rPr>
          <w:rFonts w:hint="eastAsia" w:ascii="宋体" w:hAnsi="宋体" w:cs="宋体"/>
          <w:szCs w:val="21"/>
        </w:rPr>
        <w:t>③进度付款申请单的提交</w:t>
      </w:r>
    </w:p>
    <w:p>
      <w:pPr>
        <w:spacing w:line="440" w:lineRule="exact"/>
        <w:ind w:firstLine="840" w:firstLineChars="400"/>
        <w:jc w:val="left"/>
        <w:rPr>
          <w:rFonts w:ascii="宋体" w:hAnsi="宋体" w:cs="宋体"/>
          <w:szCs w:val="21"/>
        </w:rPr>
      </w:pPr>
      <w:r>
        <w:rPr>
          <w:rFonts w:hint="eastAsia" w:ascii="宋体" w:hAnsi="宋体" w:cs="宋体"/>
          <w:szCs w:val="21"/>
        </w:rPr>
        <w:t>单价合同进度付款申请单提交的约定：</w:t>
      </w:r>
      <w:r>
        <w:rPr>
          <w:rFonts w:hint="eastAsia" w:ascii="宋体" w:hAnsi="宋体" w:cs="宋体"/>
          <w:szCs w:val="21"/>
          <w:u w:val="single"/>
        </w:rPr>
        <w:t xml:space="preserve">   按发包人要求  </w:t>
      </w:r>
      <w:r>
        <w:rPr>
          <w:rFonts w:hint="eastAsia" w:ascii="宋体" w:hAnsi="宋体" w:cs="宋体"/>
          <w:szCs w:val="21"/>
        </w:rPr>
        <w:t>。</w:t>
      </w:r>
    </w:p>
    <w:p>
      <w:pPr>
        <w:spacing w:line="440" w:lineRule="exact"/>
        <w:ind w:firstLine="840" w:firstLineChars="400"/>
        <w:jc w:val="left"/>
        <w:rPr>
          <w:rFonts w:ascii="宋体" w:hAnsi="宋体" w:cs="宋体"/>
          <w:szCs w:val="21"/>
        </w:rPr>
      </w:pPr>
      <w:r>
        <w:rPr>
          <w:rFonts w:hint="eastAsia" w:ascii="宋体" w:hAnsi="宋体" w:cs="宋体"/>
          <w:szCs w:val="21"/>
        </w:rPr>
        <w:t>总价合同进度付款申请单提交的约定：</w:t>
      </w:r>
      <w:r>
        <w:rPr>
          <w:rFonts w:hint="eastAsia" w:ascii="宋体" w:hAnsi="宋体" w:cs="宋体"/>
          <w:szCs w:val="21"/>
          <w:u w:val="single"/>
        </w:rPr>
        <w:t xml:space="preserve">          /      </w:t>
      </w:r>
      <w:r>
        <w:rPr>
          <w:rFonts w:hint="eastAsia" w:ascii="宋体" w:hAnsi="宋体" w:cs="宋体"/>
          <w:szCs w:val="21"/>
        </w:rPr>
        <w:t>。</w:t>
      </w:r>
    </w:p>
    <w:p>
      <w:pPr>
        <w:spacing w:line="360" w:lineRule="auto"/>
        <w:ind w:firstLine="840" w:firstLineChars="400"/>
        <w:jc w:val="left"/>
        <w:rPr>
          <w:rFonts w:ascii="宋体" w:hAnsi="宋体" w:cs="宋体"/>
          <w:szCs w:val="21"/>
        </w:rPr>
      </w:pPr>
      <w:r>
        <w:rPr>
          <w:rFonts w:hint="eastAsia" w:ascii="宋体" w:hAnsi="宋体" w:cs="宋体"/>
          <w:szCs w:val="21"/>
        </w:rPr>
        <w:t>其他价格形式合同进度付款申请单提交的约定：</w:t>
      </w:r>
      <w:r>
        <w:rPr>
          <w:rFonts w:hint="eastAsia" w:ascii="宋体" w:hAnsi="宋体" w:cs="宋体"/>
          <w:szCs w:val="21"/>
          <w:u w:val="single"/>
        </w:rPr>
        <w:t xml:space="preserve">    /    </w:t>
      </w:r>
      <w:r>
        <w:rPr>
          <w:rFonts w:hint="eastAsia" w:ascii="宋体" w:hAnsi="宋体" w:cs="宋体"/>
          <w:szCs w:val="21"/>
        </w:rPr>
        <w:t>。</w:t>
      </w:r>
    </w:p>
    <w:p>
      <w:pPr>
        <w:pStyle w:val="8"/>
        <w:spacing w:before="0" w:after="0" w:line="360" w:lineRule="auto"/>
        <w:ind w:firstLine="422" w:firstLineChars="200"/>
        <w:rPr>
          <w:sz w:val="21"/>
          <w:szCs w:val="21"/>
        </w:rPr>
      </w:pPr>
      <w:r>
        <w:rPr>
          <w:rFonts w:hint="eastAsia"/>
          <w:sz w:val="21"/>
          <w:szCs w:val="21"/>
        </w:rPr>
        <w:t>12.5支付账户</w:t>
      </w:r>
      <w:bookmarkEnd w:id="1070"/>
      <w:bookmarkEnd w:id="1071"/>
    </w:p>
    <w:p>
      <w:pPr>
        <w:spacing w:line="360" w:lineRule="auto"/>
        <w:ind w:firstLine="420" w:firstLineChars="200"/>
        <w:jc w:val="left"/>
        <w:rPr>
          <w:rFonts w:ascii="宋体" w:hAnsi="宋体"/>
          <w:szCs w:val="21"/>
        </w:rPr>
      </w:pPr>
      <w:r>
        <w:rPr>
          <w:rFonts w:hint="eastAsia" w:ascii="宋体" w:hAnsi="宋体"/>
          <w:szCs w:val="21"/>
        </w:rPr>
        <w:t>发包人应将合同价款支付至如下承包人指定的开户银行及银行账户：</w:t>
      </w:r>
    </w:p>
    <w:p>
      <w:pPr>
        <w:spacing w:line="360" w:lineRule="auto"/>
        <w:ind w:firstLine="420" w:firstLineChars="200"/>
        <w:jc w:val="left"/>
        <w:rPr>
          <w:rFonts w:ascii="宋体" w:hAnsi="宋体"/>
          <w:kern w:val="0"/>
          <w:szCs w:val="21"/>
          <w:u w:val="single"/>
        </w:rPr>
      </w:pPr>
      <w:r>
        <w:rPr>
          <w:rFonts w:hint="eastAsia" w:ascii="宋体" w:hAnsi="宋体"/>
          <w:kern w:val="0"/>
          <w:szCs w:val="21"/>
        </w:rPr>
        <w:t>收款单位名称：</w:t>
      </w:r>
      <w:r>
        <w:rPr>
          <w:rFonts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收款账号：</w:t>
      </w:r>
      <w:r>
        <w:rPr>
          <w:rFonts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收款开户银行：</w:t>
      </w:r>
      <w:r>
        <w:rPr>
          <w:rFonts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发包人应将人工费（工资款）支付至如下承包人指定的农民工工资专用账户：</w:t>
      </w:r>
    </w:p>
    <w:p>
      <w:pPr>
        <w:spacing w:line="360" w:lineRule="auto"/>
        <w:ind w:firstLine="420" w:firstLineChars="200"/>
        <w:jc w:val="left"/>
        <w:rPr>
          <w:rFonts w:ascii="宋体" w:hAnsi="宋体"/>
          <w:kern w:val="0"/>
          <w:szCs w:val="21"/>
        </w:rPr>
      </w:pPr>
      <w:r>
        <w:rPr>
          <w:rFonts w:hint="eastAsia" w:ascii="宋体" w:hAnsi="宋体"/>
          <w:kern w:val="0"/>
          <w:szCs w:val="21"/>
        </w:rPr>
        <w:t>开户银行：</w:t>
      </w:r>
      <w:r>
        <w:rPr>
          <w:rFonts w:hint="eastAsia"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农民工工资专用账户名称：</w:t>
      </w:r>
      <w:r>
        <w:rPr>
          <w:rFonts w:hint="eastAsia"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农民工工资专用账户账号：</w:t>
      </w:r>
      <w:r>
        <w:rPr>
          <w:rFonts w:hint="eastAsia" w:ascii="宋体" w:hAnsi="宋体"/>
          <w:kern w:val="0"/>
          <w:szCs w:val="21"/>
          <w:u w:val="single"/>
        </w:rPr>
        <w:t xml:space="preserve">                              </w:t>
      </w:r>
      <w:r>
        <w:rPr>
          <w:rFonts w:hint="eastAsia" w:ascii="宋体" w:hAnsi="宋体"/>
          <w:kern w:val="0"/>
          <w:szCs w:val="21"/>
        </w:rPr>
        <w:t>。</w:t>
      </w:r>
    </w:p>
    <w:p>
      <w:pPr>
        <w:pStyle w:val="7"/>
        <w:spacing w:before="120" w:beforeLines="50" w:after="120" w:afterLines="50" w:line="360" w:lineRule="auto"/>
        <w:rPr>
          <w:sz w:val="21"/>
          <w:szCs w:val="21"/>
        </w:rPr>
      </w:pPr>
      <w:bookmarkStart w:id="1072" w:name="_Toc532377388"/>
      <w:bookmarkStart w:id="1073" w:name="_Toc532375651"/>
      <w:bookmarkStart w:id="1074" w:name="_Toc351203645"/>
      <w:bookmarkStart w:id="1075" w:name="_Toc300935015"/>
      <w:bookmarkStart w:id="1076" w:name="_Toc296891259"/>
      <w:bookmarkStart w:id="1077" w:name="_Toc296347218"/>
      <w:bookmarkStart w:id="1078" w:name="_Toc296944558"/>
      <w:bookmarkStart w:id="1079" w:name="_Toc303539172"/>
      <w:bookmarkStart w:id="1080" w:name="_Toc292559424"/>
      <w:bookmarkStart w:id="1081" w:name="_Toc297216223"/>
      <w:bookmarkStart w:id="1082" w:name="_Toc304295593"/>
      <w:bookmarkStart w:id="1083" w:name="_Toc296503219"/>
      <w:bookmarkStart w:id="1084" w:name="_Toc296346720"/>
      <w:bookmarkStart w:id="1085" w:name="_Toc296891047"/>
      <w:bookmarkStart w:id="1086" w:name="_Toc297120519"/>
      <w:bookmarkStart w:id="1087" w:name="_Toc292559929"/>
      <w:bookmarkStart w:id="1088" w:name="_Toc312678053"/>
      <w:bookmarkStart w:id="1089" w:name="_Toc297048405"/>
      <w:bookmarkStart w:id="1090" w:name="_Toc297123564"/>
      <w:r>
        <w:rPr>
          <w:rFonts w:hint="eastAsia"/>
          <w:sz w:val="21"/>
          <w:szCs w:val="21"/>
        </w:rPr>
        <w:t>13. 验收和工程试车</w:t>
      </w:r>
      <w:bookmarkEnd w:id="1072"/>
      <w:bookmarkEnd w:id="1073"/>
      <w:bookmarkEnd w:id="1074"/>
    </w:p>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p>
      <w:pPr>
        <w:pStyle w:val="8"/>
        <w:spacing w:before="0" w:after="0" w:line="360" w:lineRule="auto"/>
        <w:ind w:firstLine="422" w:firstLineChars="200"/>
        <w:rPr>
          <w:sz w:val="21"/>
          <w:szCs w:val="21"/>
        </w:rPr>
      </w:pPr>
      <w:bookmarkStart w:id="1091" w:name="_Toc532377389"/>
      <w:bookmarkStart w:id="1092" w:name="_Toc532375652"/>
      <w:bookmarkStart w:id="1093" w:name="_Toc280868704"/>
      <w:bookmarkStart w:id="1094" w:name="_Toc280868705"/>
      <w:bookmarkStart w:id="1095" w:name="_Toc280868706"/>
      <w:bookmarkStart w:id="1096" w:name="_Toc280868707"/>
      <w:bookmarkStart w:id="1097" w:name="_Toc280868708"/>
      <w:bookmarkStart w:id="1098" w:name="_Toc267251475"/>
      <w:bookmarkStart w:id="1099" w:name="_Toc267251470"/>
      <w:bookmarkStart w:id="1100" w:name="_Toc267251474"/>
      <w:bookmarkStart w:id="1101" w:name="_Toc267251472"/>
      <w:bookmarkStart w:id="1102" w:name="_Toc267251473"/>
      <w:bookmarkStart w:id="1103" w:name="_Toc267251471"/>
      <w:bookmarkStart w:id="1104" w:name="_Toc280868709"/>
      <w:bookmarkStart w:id="1105" w:name="_Toc267251476"/>
      <w:r>
        <w:rPr>
          <w:rFonts w:hint="eastAsia"/>
          <w:sz w:val="21"/>
          <w:szCs w:val="21"/>
        </w:rPr>
        <w:t>13.1 分部分项工程验收</w:t>
      </w:r>
      <w:bookmarkEnd w:id="1091"/>
      <w:bookmarkEnd w:id="1092"/>
    </w:p>
    <w:p>
      <w:pPr>
        <w:spacing w:line="360" w:lineRule="auto"/>
        <w:ind w:right="105" w:rightChars="50" w:firstLine="420" w:firstLineChars="200"/>
        <w:jc w:val="left"/>
        <w:rPr>
          <w:rFonts w:ascii="宋体" w:hAnsi="宋体"/>
          <w:szCs w:val="21"/>
        </w:rPr>
      </w:pPr>
      <w:r>
        <w:rPr>
          <w:rFonts w:hint="eastAsia" w:ascii="宋体" w:hAnsi="宋体"/>
          <w:szCs w:val="21"/>
        </w:rPr>
        <w:t>13.1.2 监理人不能按时进行验收时，应提前</w:t>
      </w:r>
      <w:r>
        <w:rPr>
          <w:rFonts w:hint="eastAsia" w:ascii="宋体" w:hAnsi="宋体"/>
          <w:szCs w:val="21"/>
          <w:u w:val="single"/>
        </w:rPr>
        <w:t>24</w:t>
      </w:r>
      <w:r>
        <w:rPr>
          <w:rFonts w:hint="eastAsia" w:ascii="宋体" w:hAnsi="宋体"/>
          <w:szCs w:val="21"/>
        </w:rPr>
        <w:t>小时提交书面延期要求。</w:t>
      </w:r>
    </w:p>
    <w:p>
      <w:pPr>
        <w:spacing w:line="360" w:lineRule="auto"/>
        <w:ind w:right="105" w:rightChars="50" w:firstLine="420" w:firstLineChars="200"/>
        <w:jc w:val="left"/>
        <w:rPr>
          <w:rFonts w:ascii="宋体" w:hAnsi="宋体"/>
          <w:szCs w:val="21"/>
        </w:rPr>
      </w:pPr>
      <w:r>
        <w:rPr>
          <w:rFonts w:hint="eastAsia" w:ascii="宋体" w:hAnsi="宋体"/>
          <w:szCs w:val="21"/>
        </w:rPr>
        <w:t>关于延期最长不得超过：</w:t>
      </w:r>
      <w:r>
        <w:rPr>
          <w:rFonts w:hint="eastAsia" w:ascii="宋体" w:hAnsi="宋体"/>
          <w:szCs w:val="21"/>
          <w:u w:val="single"/>
        </w:rPr>
        <w:t>48</w:t>
      </w:r>
      <w:r>
        <w:rPr>
          <w:rFonts w:hint="eastAsia" w:ascii="宋体" w:hAnsi="宋体"/>
          <w:szCs w:val="21"/>
        </w:rPr>
        <w:t>小时。</w:t>
      </w:r>
    </w:p>
    <w:p>
      <w:pPr>
        <w:pStyle w:val="8"/>
        <w:spacing w:before="0" w:after="0" w:line="360" w:lineRule="auto"/>
        <w:ind w:firstLine="422" w:firstLineChars="200"/>
        <w:rPr>
          <w:sz w:val="21"/>
          <w:szCs w:val="21"/>
        </w:rPr>
      </w:pPr>
      <w:bookmarkStart w:id="1106" w:name="_Toc532375653"/>
      <w:bookmarkStart w:id="1107" w:name="_Toc532377390"/>
      <w:bookmarkStart w:id="1108" w:name="_Toc292559428"/>
      <w:bookmarkStart w:id="1109" w:name="_Toc304295596"/>
      <w:bookmarkStart w:id="1110" w:name="_Toc296944562"/>
      <w:bookmarkStart w:id="1111" w:name="_Toc300935016"/>
      <w:bookmarkStart w:id="1112" w:name="_Toc292559933"/>
      <w:bookmarkStart w:id="1113" w:name="_Toc296346724"/>
      <w:bookmarkStart w:id="1114" w:name="_Toc297048409"/>
      <w:bookmarkStart w:id="1115" w:name="_Toc296347222"/>
      <w:bookmarkStart w:id="1116" w:name="_Toc303539173"/>
      <w:bookmarkStart w:id="1117" w:name="_Toc297123565"/>
      <w:bookmarkStart w:id="1118" w:name="_Toc296503223"/>
      <w:bookmarkStart w:id="1119" w:name="_Toc297216224"/>
      <w:bookmarkStart w:id="1120" w:name="_Toc296891051"/>
      <w:bookmarkStart w:id="1121" w:name="_Toc312678056"/>
      <w:bookmarkStart w:id="1122" w:name="_Toc296891263"/>
      <w:bookmarkStart w:id="1123" w:name="_Toc297120523"/>
      <w:r>
        <w:rPr>
          <w:rFonts w:hint="eastAsia"/>
          <w:sz w:val="21"/>
          <w:szCs w:val="21"/>
        </w:rPr>
        <w:t>13.2 竣工验收</w:t>
      </w:r>
      <w:bookmarkEnd w:id="1106"/>
      <w:bookmarkEnd w:id="1107"/>
    </w:p>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p>
      <w:pPr>
        <w:spacing w:line="360" w:lineRule="auto"/>
        <w:ind w:right="105" w:rightChars="50" w:firstLine="420" w:firstLineChars="200"/>
        <w:jc w:val="left"/>
        <w:rPr>
          <w:rFonts w:ascii="宋体" w:hAnsi="宋体"/>
          <w:szCs w:val="21"/>
        </w:rPr>
      </w:pPr>
      <w:r>
        <w:rPr>
          <w:rFonts w:hint="eastAsia" w:ascii="宋体" w:hAnsi="宋体"/>
          <w:szCs w:val="21"/>
        </w:rPr>
        <w:t>13.2.2竣工验收程序</w:t>
      </w:r>
    </w:p>
    <w:bookmarkEnd w:id="1093"/>
    <w:p>
      <w:pPr>
        <w:spacing w:line="360" w:lineRule="auto"/>
        <w:ind w:right="105" w:rightChars="50" w:firstLine="420" w:firstLineChars="200"/>
        <w:jc w:val="left"/>
        <w:rPr>
          <w:rFonts w:ascii="宋体" w:hAnsi="宋体"/>
          <w:szCs w:val="21"/>
        </w:rPr>
      </w:pPr>
      <w:r>
        <w:rPr>
          <w:rFonts w:hint="eastAsia" w:ascii="宋体" w:hAnsi="宋体"/>
          <w:szCs w:val="21"/>
        </w:rPr>
        <w:t>关于竣工验收程序的约定：工程完工且符合下列条件时，承包人可向发包人提供竣工报告，并要求验收：</w:t>
      </w:r>
    </w:p>
    <w:p>
      <w:pPr>
        <w:spacing w:line="360" w:lineRule="auto"/>
        <w:ind w:right="105" w:rightChars="50" w:firstLine="420" w:firstLineChars="200"/>
        <w:jc w:val="left"/>
        <w:rPr>
          <w:rFonts w:ascii="宋体" w:hAnsi="宋体"/>
          <w:szCs w:val="21"/>
        </w:rPr>
      </w:pPr>
      <w:r>
        <w:rPr>
          <w:rFonts w:hint="eastAsia" w:ascii="宋体" w:hAnsi="宋体"/>
          <w:szCs w:val="21"/>
        </w:rPr>
        <w:t>（1）除发包人同意的甩项工作和缺陷修补工作外，合同范围内的全部工程以及有关工作，包括合同要求的试验、试运行以及检验均已完成，并符合合同要求；</w:t>
      </w:r>
    </w:p>
    <w:p>
      <w:pPr>
        <w:spacing w:line="360" w:lineRule="auto"/>
        <w:ind w:right="105" w:rightChars="50" w:firstLine="420" w:firstLineChars="200"/>
        <w:jc w:val="left"/>
        <w:rPr>
          <w:rFonts w:ascii="宋体" w:hAnsi="宋体"/>
          <w:szCs w:val="21"/>
        </w:rPr>
      </w:pPr>
      <w:r>
        <w:rPr>
          <w:rFonts w:hint="eastAsia" w:ascii="宋体" w:hAnsi="宋体"/>
          <w:szCs w:val="21"/>
        </w:rPr>
        <w:t>（2）已按合同约定编制了甩项工作和缺陷修补工作清单以及相应的施工计划；</w:t>
      </w:r>
    </w:p>
    <w:p>
      <w:pPr>
        <w:spacing w:line="360" w:lineRule="auto"/>
        <w:ind w:right="105" w:rightChars="50" w:firstLine="420" w:firstLineChars="200"/>
        <w:jc w:val="left"/>
        <w:rPr>
          <w:rFonts w:ascii="宋体" w:hAnsi="宋体"/>
          <w:szCs w:val="21"/>
        </w:rPr>
      </w:pPr>
      <w:r>
        <w:rPr>
          <w:rFonts w:hint="eastAsia" w:ascii="宋体" w:hAnsi="宋体"/>
          <w:szCs w:val="21"/>
        </w:rPr>
        <w:t>（3）已按合同约定的内容和份数备齐竣工资料。</w:t>
      </w:r>
    </w:p>
    <w:p>
      <w:pPr>
        <w:spacing w:line="360" w:lineRule="auto"/>
        <w:ind w:right="105" w:rightChars="50" w:firstLine="420" w:firstLineChars="200"/>
        <w:jc w:val="left"/>
        <w:rPr>
          <w:rFonts w:ascii="宋体" w:hAnsi="宋体"/>
          <w:szCs w:val="21"/>
        </w:rPr>
      </w:pPr>
      <w:r>
        <w:rPr>
          <w:rFonts w:hint="eastAsia" w:ascii="宋体" w:hAnsi="宋体"/>
          <w:szCs w:val="21"/>
        </w:rPr>
        <w:t>（4）</w:t>
      </w:r>
      <w:r>
        <w:rPr>
          <w:rFonts w:hint="eastAsia" w:ascii="宋体" w:hAnsi="宋体"/>
          <w:szCs w:val="21"/>
          <w:u w:val="single"/>
        </w:rPr>
        <w:t xml:space="preserve">        </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工程竣工及竣工资料：</w:t>
      </w:r>
    </w:p>
    <w:p>
      <w:pPr>
        <w:spacing w:line="360" w:lineRule="auto"/>
        <w:ind w:right="105" w:rightChars="50" w:firstLine="420" w:firstLineChars="200"/>
        <w:jc w:val="left"/>
        <w:rPr>
          <w:rFonts w:ascii="宋体" w:hAnsi="宋体"/>
          <w:szCs w:val="21"/>
        </w:rPr>
      </w:pPr>
      <w:r>
        <w:rPr>
          <w:rFonts w:hint="eastAsia" w:ascii="宋体" w:hAnsi="宋体"/>
          <w:szCs w:val="21"/>
          <w:u w:val="single"/>
        </w:rPr>
        <w:t>（1）发包人应在收到承包人竣工报告后14天内组织设计单位、监理单位、质监等其他部门进行验收，竣工日期以最后一次整改后通过竣工验收的时间为准</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u w:val="single"/>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宋体" w:hAnsi="宋体"/>
          <w:szCs w:val="21"/>
        </w:rPr>
        <w:t>。</w:t>
      </w:r>
    </w:p>
    <w:p>
      <w:pPr>
        <w:spacing w:line="360" w:lineRule="auto"/>
        <w:ind w:right="105" w:rightChars="50" w:firstLine="420" w:firstLineChars="200"/>
        <w:jc w:val="left"/>
        <w:rPr>
          <w:rFonts w:ascii="宋体" w:hAnsi="宋体"/>
          <w:szCs w:val="21"/>
          <w:u w:val="single"/>
        </w:rPr>
      </w:pPr>
      <w:r>
        <w:rPr>
          <w:rFonts w:hint="eastAsia" w:ascii="宋体" w:hAnsi="宋体"/>
          <w:szCs w:val="21"/>
        </w:rPr>
        <w:t>（3）承包人提供竣工资料的约定：</w:t>
      </w:r>
      <w:r>
        <w:rPr>
          <w:rFonts w:hint="eastAsia" w:ascii="宋体" w:hAnsi="宋体"/>
          <w:szCs w:val="21"/>
          <w:u w:val="single"/>
        </w:rPr>
        <w:t>承包人提供纸质版竣工图三套，电子版竣工图二套（刻光盘）</w:t>
      </w:r>
      <w:r>
        <w:rPr>
          <w:rFonts w:hint="eastAsia" w:ascii="宋体" w:hAnsi="宋体"/>
          <w:szCs w:val="21"/>
        </w:rPr>
        <w:t>。</w:t>
      </w:r>
    </w:p>
    <w:bookmarkEnd w:id="1094"/>
    <w:p>
      <w:pPr>
        <w:spacing w:line="360" w:lineRule="auto"/>
        <w:ind w:right="105" w:rightChars="50" w:firstLine="420" w:firstLineChars="200"/>
        <w:jc w:val="left"/>
        <w:rPr>
          <w:rFonts w:ascii="宋体" w:hAnsi="宋体"/>
          <w:szCs w:val="21"/>
        </w:rPr>
      </w:pPr>
      <w:r>
        <w:rPr>
          <w:rFonts w:hint="eastAsia" w:ascii="宋体" w:hAnsi="宋体"/>
          <w:szCs w:val="21"/>
        </w:rPr>
        <w:t>13.2.5 移交、接收全部与部分工程</w:t>
      </w:r>
    </w:p>
    <w:bookmarkEnd w:id="1095"/>
    <w:p>
      <w:pPr>
        <w:spacing w:line="360" w:lineRule="auto"/>
        <w:ind w:right="105" w:rightChars="50" w:firstLine="420" w:firstLineChars="200"/>
        <w:jc w:val="left"/>
        <w:rPr>
          <w:rFonts w:ascii="宋体" w:hAnsi="宋体"/>
          <w:szCs w:val="21"/>
          <w:u w:val="single"/>
        </w:rPr>
      </w:pPr>
      <w:r>
        <w:rPr>
          <w:rFonts w:hint="eastAsia" w:ascii="宋体" w:hAnsi="宋体"/>
          <w:szCs w:val="21"/>
        </w:rPr>
        <w:t>承包人向发包人移交工程的期限：</w:t>
      </w:r>
      <w:r>
        <w:rPr>
          <w:rFonts w:hint="eastAsia" w:ascii="宋体" w:hAnsi="宋体"/>
          <w:szCs w:val="21"/>
          <w:u w:val="single"/>
        </w:rPr>
        <w:t>颁发工程接收证书后7天内完成工程的移交</w:t>
      </w:r>
      <w:r>
        <w:rPr>
          <w:rFonts w:hint="eastAsia" w:ascii="宋体" w:hAnsi="宋体"/>
          <w:szCs w:val="21"/>
        </w:rPr>
        <w:t>。</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发包人未按合同约定接收全部或部分工程的，违约金的计算方法为：发包人自应当接收工程之日起承担工程照管、成品保护、保管等与工程有关的各项费用。</w:t>
      </w:r>
    </w:p>
    <w:bookmarkEnd w:id="1096"/>
    <w:p>
      <w:pPr>
        <w:spacing w:line="360" w:lineRule="auto"/>
        <w:ind w:right="105" w:rightChars="50" w:firstLine="420" w:firstLineChars="200"/>
        <w:jc w:val="left"/>
        <w:rPr>
          <w:rFonts w:ascii="宋体" w:hAnsi="宋体"/>
          <w:szCs w:val="21"/>
          <w:u w:val="single"/>
        </w:rPr>
      </w:pPr>
      <w:r>
        <w:rPr>
          <w:rFonts w:hint="eastAsia" w:ascii="宋体" w:hAnsi="宋体"/>
          <w:szCs w:val="21"/>
        </w:rPr>
        <w:t>因承包人自身原因未按时移交工程的，违约金的计算方法为：</w:t>
      </w:r>
      <w:r>
        <w:rPr>
          <w:rFonts w:hint="eastAsia" w:ascii="宋体" w:hAnsi="宋体"/>
          <w:szCs w:val="21"/>
          <w:u w:val="single"/>
        </w:rPr>
        <w:t>承包人应承担工程照管、成品保护、保管等与工程有关的各项费用，并按经审定结算金额的0.5‰/天支付违约金</w:t>
      </w:r>
      <w:r>
        <w:rPr>
          <w:rFonts w:hint="eastAsia" w:ascii="宋体" w:hAnsi="宋体"/>
          <w:szCs w:val="21"/>
        </w:rPr>
        <w:t>。</w:t>
      </w:r>
    </w:p>
    <w:p>
      <w:pPr>
        <w:pStyle w:val="8"/>
        <w:spacing w:before="0" w:after="0" w:line="360" w:lineRule="auto"/>
        <w:ind w:firstLine="422" w:firstLineChars="200"/>
        <w:rPr>
          <w:sz w:val="21"/>
          <w:szCs w:val="21"/>
        </w:rPr>
      </w:pPr>
      <w:bookmarkStart w:id="1124" w:name="_Toc532375654"/>
      <w:bookmarkStart w:id="1125" w:name="_Toc532377391"/>
      <w:r>
        <w:rPr>
          <w:rFonts w:hint="eastAsia"/>
          <w:sz w:val="21"/>
          <w:szCs w:val="21"/>
        </w:rPr>
        <w:t>13.3 工程试车</w:t>
      </w:r>
      <w:bookmarkEnd w:id="1124"/>
      <w:bookmarkEnd w:id="1125"/>
    </w:p>
    <w:p>
      <w:pPr>
        <w:spacing w:line="360" w:lineRule="auto"/>
        <w:ind w:right="105" w:rightChars="50" w:firstLine="420" w:firstLineChars="200"/>
        <w:jc w:val="left"/>
        <w:rPr>
          <w:rFonts w:ascii="宋体" w:hAnsi="宋体"/>
          <w:szCs w:val="21"/>
        </w:rPr>
      </w:pPr>
      <w:r>
        <w:rPr>
          <w:rFonts w:hint="eastAsia" w:ascii="宋体" w:hAnsi="宋体"/>
          <w:szCs w:val="21"/>
        </w:rPr>
        <w:t>13.3.1 试车程序</w:t>
      </w:r>
    </w:p>
    <w:p>
      <w:pPr>
        <w:spacing w:line="360" w:lineRule="auto"/>
        <w:ind w:right="105" w:rightChars="50" w:firstLine="420" w:firstLineChars="200"/>
        <w:jc w:val="left"/>
        <w:rPr>
          <w:rFonts w:ascii="宋体" w:hAnsi="宋体"/>
          <w:szCs w:val="21"/>
        </w:rPr>
      </w:pPr>
      <w:r>
        <w:rPr>
          <w:rFonts w:hint="eastAsia" w:ascii="宋体" w:hAnsi="宋体"/>
          <w:szCs w:val="21"/>
        </w:rPr>
        <w:t>工程试车内容：</w:t>
      </w:r>
      <w:r>
        <w:rPr>
          <w:rFonts w:hint="eastAsia" w:ascii="宋体" w:hAnsi="宋体"/>
          <w:szCs w:val="21"/>
          <w:u w:val="single"/>
        </w:rPr>
        <w:t>按通用合同条款执行</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（1）单机无负荷试车费用由</w:t>
      </w:r>
      <w:r>
        <w:rPr>
          <w:rFonts w:hint="eastAsia" w:ascii="宋体" w:hAnsi="宋体"/>
          <w:szCs w:val="21"/>
          <w:u w:val="single"/>
        </w:rPr>
        <w:t>承包人</w:t>
      </w:r>
      <w:r>
        <w:rPr>
          <w:rFonts w:hint="eastAsia" w:ascii="宋体" w:hAnsi="宋体"/>
          <w:szCs w:val="21"/>
        </w:rPr>
        <w:t>承担；</w:t>
      </w:r>
    </w:p>
    <w:p>
      <w:pPr>
        <w:spacing w:line="360" w:lineRule="auto"/>
        <w:ind w:right="105" w:rightChars="50" w:firstLine="420" w:firstLineChars="200"/>
        <w:jc w:val="left"/>
        <w:rPr>
          <w:rFonts w:ascii="宋体" w:hAnsi="宋体"/>
          <w:szCs w:val="21"/>
        </w:rPr>
      </w:pPr>
      <w:r>
        <w:rPr>
          <w:rFonts w:hint="eastAsia" w:ascii="宋体" w:hAnsi="宋体"/>
          <w:szCs w:val="21"/>
        </w:rPr>
        <w:t>（2）无负荷联动试车费用由</w:t>
      </w:r>
      <w:r>
        <w:rPr>
          <w:rFonts w:hint="eastAsia" w:ascii="宋体" w:hAnsi="宋体"/>
          <w:szCs w:val="21"/>
          <w:u w:val="single"/>
        </w:rPr>
        <w:t>承包人</w:t>
      </w:r>
      <w:r>
        <w:rPr>
          <w:rFonts w:hint="eastAsia" w:ascii="宋体" w:hAnsi="宋体"/>
          <w:szCs w:val="21"/>
        </w:rPr>
        <w:t>承担。</w:t>
      </w:r>
    </w:p>
    <w:p>
      <w:pPr>
        <w:pStyle w:val="8"/>
        <w:spacing w:before="0" w:after="0" w:line="360" w:lineRule="auto"/>
        <w:ind w:firstLine="422" w:firstLineChars="200"/>
        <w:rPr>
          <w:sz w:val="21"/>
          <w:szCs w:val="21"/>
        </w:rPr>
      </w:pPr>
      <w:bookmarkStart w:id="1126" w:name="_Toc532375655"/>
      <w:bookmarkStart w:id="1127" w:name="_Toc532377392"/>
      <w:r>
        <w:rPr>
          <w:rFonts w:hint="eastAsia"/>
          <w:sz w:val="21"/>
          <w:szCs w:val="21"/>
        </w:rPr>
        <w:t>13.6 竣工退场</w:t>
      </w:r>
      <w:bookmarkEnd w:id="1126"/>
      <w:bookmarkEnd w:id="1127"/>
    </w:p>
    <w:p>
      <w:pPr>
        <w:spacing w:line="360" w:lineRule="auto"/>
        <w:ind w:right="105" w:rightChars="50" w:firstLine="420" w:firstLineChars="200"/>
        <w:jc w:val="left"/>
        <w:rPr>
          <w:rFonts w:ascii="宋体" w:hAnsi="宋体"/>
          <w:szCs w:val="21"/>
        </w:rPr>
      </w:pPr>
      <w:r>
        <w:rPr>
          <w:rFonts w:hint="eastAsia" w:ascii="宋体" w:hAnsi="宋体"/>
          <w:szCs w:val="21"/>
        </w:rPr>
        <w:t>13.6.1 竣工退场</w:t>
      </w:r>
    </w:p>
    <w:p>
      <w:pPr>
        <w:spacing w:line="360" w:lineRule="auto"/>
        <w:ind w:right="105" w:rightChars="50" w:firstLine="420" w:firstLineChars="200"/>
        <w:jc w:val="left"/>
        <w:rPr>
          <w:rFonts w:ascii="宋体" w:hAnsi="宋体"/>
          <w:szCs w:val="21"/>
          <w:u w:val="single"/>
        </w:rPr>
      </w:pPr>
      <w:r>
        <w:rPr>
          <w:rFonts w:hint="eastAsia" w:ascii="宋体" w:hAnsi="宋体"/>
          <w:szCs w:val="21"/>
        </w:rPr>
        <w:t>承包人完成竣工退场的期限：</w:t>
      </w:r>
      <w:r>
        <w:rPr>
          <w:rFonts w:hint="eastAsia" w:ascii="宋体" w:hAnsi="宋体"/>
          <w:szCs w:val="21"/>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szCs w:val="21"/>
        </w:rPr>
        <w:t>。</w:t>
      </w:r>
    </w:p>
    <w:bookmarkEnd w:id="1097"/>
    <w:p>
      <w:pPr>
        <w:pStyle w:val="7"/>
        <w:spacing w:before="120" w:beforeLines="50" w:after="120" w:afterLines="50" w:line="360" w:lineRule="auto"/>
        <w:rPr>
          <w:sz w:val="21"/>
          <w:szCs w:val="21"/>
        </w:rPr>
      </w:pPr>
      <w:bookmarkStart w:id="1128" w:name="_Toc532375656"/>
      <w:bookmarkStart w:id="1129" w:name="_Toc351203646"/>
      <w:bookmarkStart w:id="1130" w:name="_Toc532377393"/>
      <w:r>
        <w:rPr>
          <w:rFonts w:hint="eastAsia"/>
          <w:sz w:val="21"/>
          <w:szCs w:val="21"/>
        </w:rPr>
        <w:t>14. 竣工结算</w:t>
      </w:r>
      <w:bookmarkEnd w:id="1128"/>
      <w:bookmarkEnd w:id="1129"/>
      <w:bookmarkEnd w:id="1130"/>
    </w:p>
    <w:p>
      <w:pPr>
        <w:pStyle w:val="8"/>
        <w:spacing w:before="0" w:after="0" w:line="360" w:lineRule="auto"/>
        <w:ind w:firstLine="422" w:firstLineChars="200"/>
        <w:rPr>
          <w:sz w:val="21"/>
          <w:szCs w:val="21"/>
        </w:rPr>
      </w:pPr>
      <w:bookmarkStart w:id="1131" w:name="_Toc532377394"/>
      <w:bookmarkStart w:id="1132" w:name="_Toc532375657"/>
      <w:r>
        <w:rPr>
          <w:rFonts w:hint="eastAsia"/>
          <w:sz w:val="21"/>
          <w:szCs w:val="21"/>
        </w:rPr>
        <w:t>14.1 竣工结算申请</w:t>
      </w:r>
      <w:bookmarkEnd w:id="1131"/>
      <w:bookmarkEnd w:id="1132"/>
    </w:p>
    <w:p>
      <w:pPr>
        <w:spacing w:line="360" w:lineRule="auto"/>
        <w:ind w:right="105" w:rightChars="50" w:firstLine="420" w:firstLineChars="200"/>
        <w:jc w:val="left"/>
        <w:rPr>
          <w:rFonts w:ascii="宋体" w:hAnsi="宋体"/>
          <w:szCs w:val="21"/>
          <w:u w:val="single"/>
        </w:rPr>
      </w:pPr>
      <w:r>
        <w:rPr>
          <w:rFonts w:hint="eastAsia" w:ascii="宋体" w:hAnsi="宋体"/>
          <w:szCs w:val="21"/>
        </w:rPr>
        <w:t>承包人提交竣工结算申请单的期限：</w:t>
      </w:r>
      <w:r>
        <w:rPr>
          <w:rFonts w:hint="eastAsia" w:ascii="宋体" w:hAnsi="宋体"/>
          <w:szCs w:val="21"/>
          <w:u w:val="single"/>
        </w:rPr>
        <w:t>承包人应在工程竣工验收合格且报送</w:t>
      </w:r>
      <w:r>
        <w:rPr>
          <w:rFonts w:ascii="宋体" w:hAnsi="宋体"/>
          <w:szCs w:val="21"/>
          <w:u w:val="single"/>
        </w:rPr>
        <w:t>完整工程竣工资料</w:t>
      </w:r>
      <w:r>
        <w:rPr>
          <w:rFonts w:hint="eastAsia" w:ascii="宋体" w:hAnsi="宋体"/>
          <w:szCs w:val="21"/>
          <w:u w:val="single"/>
        </w:rPr>
        <w:t>之日起28天内向监理人、发包人提交竣工结算申请单，并向发包人报送完整的工程竣工资料及经监理人初审确认的完整的竣工结算资料</w:t>
      </w:r>
      <w:bookmarkStart w:id="1133" w:name="_Hlk524297994"/>
      <w:r>
        <w:rPr>
          <w:rFonts w:hint="eastAsia" w:ascii="宋体" w:hAnsi="宋体"/>
          <w:szCs w:val="21"/>
          <w:u w:val="single"/>
        </w:rPr>
        <w:t>。监理人或发包人对竣工结算申请单有异议的，应在接到竣工结算申请单后14天内要求承包人进行修正和提供补充资料，承包人在接到监理人或发包人提出的审核意见后，应在28天内按监理人或发包人提出的合理要求补充资料、修改竣工结算资料，并再次提交监理人或发包人审核。承包人未在规定时间内报送竣工结算资料给发包人造成经济损失的，承包人应承担赔偿责任。</w:t>
      </w:r>
    </w:p>
    <w:p>
      <w:pPr>
        <w:spacing w:line="360" w:lineRule="auto"/>
        <w:ind w:right="105" w:rightChars="50" w:firstLine="420" w:firstLineChars="200"/>
        <w:jc w:val="left"/>
        <w:rPr>
          <w:rFonts w:ascii="宋体" w:hAnsi="宋体"/>
          <w:szCs w:val="21"/>
        </w:rPr>
      </w:pPr>
      <w:r>
        <w:rPr>
          <w:rFonts w:hint="eastAsia" w:ascii="宋体" w:hAnsi="宋体"/>
          <w:szCs w:val="21"/>
        </w:rPr>
        <w:t>竣工结算申请单包括但不限于以下内容：</w:t>
      </w:r>
    </w:p>
    <w:p>
      <w:pPr>
        <w:spacing w:line="360" w:lineRule="auto"/>
        <w:ind w:right="105" w:rightChars="50" w:firstLine="420" w:firstLineChars="200"/>
        <w:jc w:val="left"/>
        <w:rPr>
          <w:rFonts w:ascii="宋体" w:hAnsi="宋体"/>
          <w:szCs w:val="21"/>
        </w:rPr>
      </w:pPr>
      <w:r>
        <w:rPr>
          <w:rFonts w:hint="eastAsia" w:ascii="宋体" w:hAnsi="宋体"/>
          <w:szCs w:val="21"/>
        </w:rPr>
        <w:t>（1）竣工结算合同价格；</w:t>
      </w:r>
    </w:p>
    <w:p>
      <w:pPr>
        <w:spacing w:line="360" w:lineRule="auto"/>
        <w:ind w:right="105" w:rightChars="50" w:firstLine="420" w:firstLineChars="200"/>
        <w:jc w:val="left"/>
        <w:rPr>
          <w:rFonts w:ascii="宋体" w:hAnsi="宋体"/>
          <w:szCs w:val="21"/>
        </w:rPr>
      </w:pPr>
      <w:r>
        <w:rPr>
          <w:rFonts w:hint="eastAsia" w:ascii="宋体" w:hAnsi="宋体"/>
          <w:szCs w:val="21"/>
        </w:rPr>
        <w:t>（2）变更增减金额；</w:t>
      </w:r>
    </w:p>
    <w:p>
      <w:pPr>
        <w:spacing w:line="360" w:lineRule="auto"/>
        <w:ind w:right="105" w:rightChars="50" w:firstLine="420" w:firstLineChars="200"/>
        <w:jc w:val="left"/>
        <w:rPr>
          <w:rFonts w:ascii="宋体" w:hAnsi="宋体"/>
          <w:szCs w:val="21"/>
        </w:rPr>
      </w:pPr>
      <w:r>
        <w:rPr>
          <w:rFonts w:hint="eastAsia" w:ascii="宋体" w:hAnsi="宋体"/>
          <w:szCs w:val="21"/>
        </w:rPr>
        <w:t>（3）现场签证增减金额；</w:t>
      </w:r>
    </w:p>
    <w:p>
      <w:pPr>
        <w:spacing w:line="360" w:lineRule="auto"/>
        <w:ind w:right="105" w:rightChars="50" w:firstLine="420" w:firstLineChars="200"/>
        <w:jc w:val="left"/>
        <w:rPr>
          <w:rFonts w:ascii="宋体" w:hAnsi="宋体"/>
          <w:szCs w:val="21"/>
        </w:rPr>
      </w:pPr>
      <w:r>
        <w:rPr>
          <w:rFonts w:hint="eastAsia" w:ascii="宋体" w:hAnsi="宋体"/>
          <w:szCs w:val="21"/>
        </w:rPr>
        <w:t>（4）索赔增减金额；</w:t>
      </w:r>
    </w:p>
    <w:p>
      <w:pPr>
        <w:spacing w:line="360" w:lineRule="auto"/>
        <w:ind w:right="105" w:rightChars="50" w:firstLine="420" w:firstLineChars="200"/>
        <w:jc w:val="left"/>
        <w:rPr>
          <w:rFonts w:ascii="宋体" w:hAnsi="宋体"/>
          <w:szCs w:val="21"/>
        </w:rPr>
      </w:pPr>
      <w:r>
        <w:rPr>
          <w:rFonts w:hint="eastAsia" w:ascii="宋体" w:hAnsi="宋体"/>
          <w:szCs w:val="21"/>
        </w:rPr>
        <w:t>（5）奖励、罚金及违约金；</w:t>
      </w:r>
    </w:p>
    <w:p>
      <w:pPr>
        <w:spacing w:line="360" w:lineRule="auto"/>
        <w:ind w:right="105" w:rightChars="50" w:firstLine="420" w:firstLineChars="200"/>
        <w:jc w:val="left"/>
        <w:rPr>
          <w:rFonts w:ascii="宋体" w:hAnsi="宋体"/>
          <w:szCs w:val="21"/>
        </w:rPr>
      </w:pPr>
      <w:r>
        <w:rPr>
          <w:rFonts w:hint="eastAsia" w:ascii="宋体" w:hAnsi="宋体"/>
          <w:szCs w:val="21"/>
        </w:rPr>
        <w:t>（6）发包人已支付承包人的款项；</w:t>
      </w:r>
    </w:p>
    <w:p>
      <w:pPr>
        <w:spacing w:line="360" w:lineRule="auto"/>
        <w:ind w:right="105" w:rightChars="50" w:firstLine="420" w:firstLineChars="200"/>
        <w:jc w:val="left"/>
        <w:rPr>
          <w:rFonts w:ascii="宋体" w:hAnsi="宋体"/>
          <w:szCs w:val="21"/>
        </w:rPr>
      </w:pPr>
      <w:r>
        <w:rPr>
          <w:rFonts w:hint="eastAsia" w:ascii="宋体" w:hAnsi="宋体"/>
          <w:szCs w:val="21"/>
        </w:rPr>
        <w:t>（7）应扣留的质量保证金；</w:t>
      </w:r>
    </w:p>
    <w:p>
      <w:pPr>
        <w:spacing w:line="360" w:lineRule="auto"/>
        <w:ind w:right="105" w:rightChars="50" w:firstLine="420" w:firstLineChars="200"/>
        <w:jc w:val="left"/>
        <w:rPr>
          <w:rFonts w:ascii="宋体" w:hAnsi="宋体"/>
          <w:szCs w:val="21"/>
        </w:rPr>
      </w:pPr>
      <w:r>
        <w:rPr>
          <w:rFonts w:hint="eastAsia" w:ascii="宋体" w:hAnsi="宋体"/>
          <w:szCs w:val="21"/>
        </w:rPr>
        <w:t>（8）发包人应支付承包人的合同价款。</w:t>
      </w:r>
      <w:bookmarkEnd w:id="1133"/>
    </w:p>
    <w:p>
      <w:pPr>
        <w:spacing w:line="360" w:lineRule="auto"/>
        <w:ind w:right="105" w:rightChars="50" w:firstLine="420" w:firstLineChars="200"/>
        <w:jc w:val="left"/>
        <w:rPr>
          <w:rFonts w:ascii="宋体" w:hAnsi="宋体"/>
          <w:szCs w:val="21"/>
        </w:rPr>
      </w:pPr>
      <w:r>
        <w:rPr>
          <w:rFonts w:hint="eastAsia" w:ascii="宋体" w:hAnsi="宋体"/>
          <w:szCs w:val="21"/>
        </w:rPr>
        <w:t>（9）</w:t>
      </w:r>
      <w:r>
        <w:rPr>
          <w:rFonts w:hint="eastAsia" w:ascii="宋体" w:hAnsi="宋体"/>
          <w:szCs w:val="21"/>
          <w:u w:val="single"/>
        </w:rPr>
        <w:t xml:space="preserve">        </w:t>
      </w:r>
      <w:r>
        <w:rPr>
          <w:rFonts w:hint="eastAsia" w:ascii="宋体" w:hAnsi="宋体"/>
          <w:szCs w:val="21"/>
        </w:rPr>
        <w:t>。</w:t>
      </w:r>
    </w:p>
    <w:p>
      <w:pPr>
        <w:pStyle w:val="8"/>
        <w:spacing w:before="0" w:after="0" w:line="360" w:lineRule="auto"/>
        <w:ind w:firstLine="422" w:firstLineChars="200"/>
        <w:rPr>
          <w:sz w:val="21"/>
          <w:szCs w:val="21"/>
        </w:rPr>
      </w:pPr>
      <w:bookmarkStart w:id="1134" w:name="_Toc532377395"/>
      <w:bookmarkStart w:id="1135" w:name="_Toc532375658"/>
      <w:r>
        <w:rPr>
          <w:rFonts w:hint="eastAsia"/>
          <w:sz w:val="21"/>
          <w:szCs w:val="21"/>
        </w:rPr>
        <w:t>14.2 竣工结算审核</w:t>
      </w:r>
      <w:bookmarkEnd w:id="1134"/>
      <w:bookmarkEnd w:id="1135"/>
    </w:p>
    <w:p>
      <w:pPr>
        <w:spacing w:line="360" w:lineRule="auto"/>
        <w:ind w:right="105" w:rightChars="50" w:firstLine="420" w:firstLineChars="200"/>
        <w:jc w:val="left"/>
        <w:rPr>
          <w:rFonts w:ascii="宋体" w:hAnsi="宋体"/>
          <w:szCs w:val="21"/>
        </w:rPr>
      </w:pPr>
      <w:r>
        <w:rPr>
          <w:rFonts w:hint="eastAsia" w:ascii="宋体" w:hAnsi="宋体"/>
          <w:szCs w:val="21"/>
        </w:rPr>
        <w:t>14.2.1 竣工结算办法</w:t>
      </w:r>
    </w:p>
    <w:p>
      <w:pPr>
        <w:spacing w:line="360" w:lineRule="auto"/>
        <w:ind w:right="105" w:rightChars="50" w:firstLine="420" w:firstLineChars="200"/>
        <w:jc w:val="left"/>
        <w:rPr>
          <w:rFonts w:ascii="宋体" w:hAnsi="宋体"/>
          <w:szCs w:val="21"/>
        </w:rPr>
      </w:pPr>
      <w:r>
        <w:rPr>
          <w:rFonts w:hint="eastAsia" w:ascii="宋体" w:hAnsi="宋体"/>
          <w:szCs w:val="21"/>
        </w:rPr>
        <w:t>14.2.1.1计量原则</w:t>
      </w:r>
    </w:p>
    <w:p>
      <w:pPr>
        <w:spacing w:line="360" w:lineRule="auto"/>
        <w:ind w:right="105" w:rightChars="50" w:firstLine="420" w:firstLineChars="200"/>
        <w:jc w:val="left"/>
        <w:rPr>
          <w:rFonts w:ascii="宋体" w:hAnsi="宋体"/>
          <w:szCs w:val="21"/>
          <w:u w:val="single"/>
        </w:rPr>
      </w:pPr>
      <w:r>
        <w:rPr>
          <w:rFonts w:hint="eastAsia" w:ascii="宋体" w:hAnsi="宋体"/>
          <w:szCs w:val="21"/>
        </w:rPr>
        <w:t>按照第12.3.1项〔计量原则〕约定执行。</w:t>
      </w:r>
    </w:p>
    <w:p>
      <w:pPr>
        <w:spacing w:line="360" w:lineRule="auto"/>
        <w:ind w:right="105" w:rightChars="50" w:firstLine="420" w:firstLineChars="200"/>
        <w:jc w:val="left"/>
        <w:rPr>
          <w:rFonts w:ascii="宋体" w:hAnsi="宋体"/>
          <w:szCs w:val="21"/>
        </w:rPr>
      </w:pPr>
      <w:r>
        <w:rPr>
          <w:rFonts w:hint="eastAsia" w:ascii="宋体" w:hAnsi="宋体"/>
          <w:szCs w:val="21"/>
        </w:rPr>
        <w:t>14.2.1.2计价原则</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合同竣工结算价=Σ分部分项工程结算价+Σ措施项目结算价+Σ其他项目结算价±Σ价格调整（如有）±Σ变更、索赔与现场签证结算价±Σ奖励、罚金、违约金及其他费用+Σ规费+Σ税金</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具体结算办法如下：</w:t>
      </w:r>
    </w:p>
    <w:p>
      <w:pPr>
        <w:tabs>
          <w:tab w:val="left" w:pos="711"/>
          <w:tab w:val="left" w:pos="2580"/>
        </w:tabs>
        <w:spacing w:line="360" w:lineRule="auto"/>
        <w:ind w:right="105" w:rightChars="50" w:firstLine="420" w:firstLineChars="200"/>
        <w:jc w:val="left"/>
        <w:textAlignment w:val="baseline"/>
        <w:rPr>
          <w:rFonts w:ascii="宋体" w:hAnsi="宋体"/>
          <w:szCs w:val="21"/>
        </w:rPr>
      </w:pPr>
      <w:r>
        <w:rPr>
          <w:rFonts w:hint="eastAsia" w:ascii="宋体" w:hAnsi="宋体"/>
          <w:szCs w:val="21"/>
        </w:rPr>
        <w:t>（1）分部分项工程：</w:t>
      </w:r>
    </w:p>
    <w:p>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u w:val="single"/>
        </w:rPr>
        <w:t>①已标价工程量清单子目综合单价按合同约定无需调整的，以按照竣工图和第12.3.1项〔计量原则〕约定确定的工程量乘以相应的已标价工程量清单子目综合单价确定该部分分部分项工程结算价</w:t>
      </w:r>
      <w:r>
        <w:rPr>
          <w:rFonts w:hint="eastAsia" w:ascii="宋体" w:hAnsi="宋体"/>
          <w:szCs w:val="21"/>
        </w:rPr>
        <w:t>；</w:t>
      </w:r>
    </w:p>
    <w:p>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u w:val="single"/>
        </w:rPr>
        <w:t>②已标价工程量清单子目综合单价按第11.3款〔严重不平衡报价引起的调整〕约定需要修正综合单价的，结算工程量超过已标价工程量15%的，超出部分工程量乘以按第11.3款〔严重不平衡报价引起的调整〕约定修正综合单价确定该部分分部分项工程结算价</w:t>
      </w:r>
      <w:r>
        <w:rPr>
          <w:rFonts w:hint="eastAsia" w:ascii="宋体" w:hAnsi="宋体"/>
          <w:szCs w:val="21"/>
        </w:rPr>
        <w:t>；</w:t>
      </w:r>
    </w:p>
    <w:p>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u w:val="single"/>
        </w:rPr>
        <w:t>③需要对没有填入综合单价或总额价的子目项目进行扣减的，第12.3.1项〔计量原则〕约定确定的工程量乘以按照10.4.1〔变更估价原则〕（3）目约定的综合单价进行扣减</w:t>
      </w:r>
      <w:r>
        <w:rPr>
          <w:rFonts w:hint="eastAsia" w:ascii="宋体" w:hAnsi="宋体"/>
          <w:szCs w:val="21"/>
        </w:rPr>
        <w:t>；</w:t>
      </w:r>
    </w:p>
    <w:p>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u w:val="single"/>
        </w:rPr>
        <w:t>④合同、已标价工程量清单和招标文件另有约定的，按照其约定执行</w:t>
      </w:r>
      <w:r>
        <w:rPr>
          <w:rFonts w:hint="eastAsia" w:ascii="宋体" w:hAnsi="宋体"/>
          <w:szCs w:val="21"/>
        </w:rPr>
        <w:t>。</w:t>
      </w:r>
    </w:p>
    <w:p>
      <w:pPr>
        <w:tabs>
          <w:tab w:val="left" w:pos="711"/>
          <w:tab w:val="left" w:pos="2580"/>
        </w:tabs>
        <w:spacing w:line="360" w:lineRule="auto"/>
        <w:ind w:right="105" w:rightChars="50" w:firstLine="420" w:firstLineChars="200"/>
        <w:jc w:val="left"/>
        <w:textAlignment w:val="baseline"/>
        <w:rPr>
          <w:rFonts w:ascii="宋体" w:hAnsi="宋体"/>
          <w:szCs w:val="21"/>
        </w:rPr>
      </w:pPr>
      <w:r>
        <w:rPr>
          <w:rFonts w:hint="eastAsia" w:ascii="宋体" w:hAnsi="宋体"/>
          <w:szCs w:val="21"/>
        </w:rPr>
        <w:t>（2）措施项目：</w:t>
      </w:r>
    </w:p>
    <w:p>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u w:val="single"/>
        </w:rPr>
        <w:t>①已标价工程量清单范围内以项为计量单位的措施项目费（安全文明施工费除外）包干使用；不以项为计量单位的措施项目费按第14.2.1项〔竣工结算办理办法〕分部分项约定执行</w:t>
      </w:r>
      <w:r>
        <w:rPr>
          <w:rFonts w:hint="eastAsia" w:ascii="宋体" w:hAnsi="宋体"/>
          <w:szCs w:val="21"/>
        </w:rPr>
        <w:t>。</w:t>
      </w:r>
    </w:p>
    <w:p>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u w:val="single"/>
        </w:rPr>
        <w:t>②工程变更引起施工方案改变使措施项目发生变化的，经监理人、发包人确定后可对按第10.4.3项约定执行</w:t>
      </w:r>
      <w:r>
        <w:rPr>
          <w:rFonts w:hint="eastAsia" w:ascii="宋体" w:hAnsi="宋体"/>
          <w:szCs w:val="21"/>
        </w:rPr>
        <w:t>。</w:t>
      </w:r>
    </w:p>
    <w:p>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u w:val="single"/>
        </w:rPr>
        <w:t>③安全文明施工费按照《重庆市建设工程安全文明施工费计取及使用管理规定》（渝建发〔2014〕25号）、《重庆市建设工程费用定额》（CQFYDE-2018）、《重庆市城乡建设委员会关于适用增值税新税率调整建设工程计价依据的通知》（渝建〔2019〕143号）的规定进行结算</w:t>
      </w:r>
      <w:r>
        <w:rPr>
          <w:rFonts w:hint="eastAsia" w:ascii="宋体" w:hAnsi="宋体"/>
          <w:szCs w:val="21"/>
        </w:rPr>
        <w:t>。</w:t>
      </w:r>
    </w:p>
    <w:p>
      <w:pPr>
        <w:tabs>
          <w:tab w:val="left" w:pos="711"/>
          <w:tab w:val="left" w:pos="2580"/>
        </w:tabs>
        <w:spacing w:line="360" w:lineRule="auto"/>
        <w:ind w:right="105" w:rightChars="50" w:firstLine="420" w:firstLineChars="200"/>
        <w:jc w:val="left"/>
        <w:textAlignment w:val="baseline"/>
        <w:rPr>
          <w:rFonts w:ascii="宋体" w:hAnsi="宋体"/>
          <w:szCs w:val="21"/>
        </w:rPr>
      </w:pPr>
      <w:r>
        <w:rPr>
          <w:rFonts w:hint="eastAsia" w:ascii="宋体" w:hAnsi="宋体"/>
          <w:szCs w:val="21"/>
        </w:rPr>
        <w:t>（3）其他项目：</w:t>
      </w:r>
    </w:p>
    <w:p>
      <w:pPr>
        <w:spacing w:line="360" w:lineRule="auto"/>
        <w:ind w:right="105" w:rightChars="50" w:firstLine="420" w:firstLineChars="200"/>
        <w:jc w:val="left"/>
        <w:rPr>
          <w:rFonts w:ascii="宋体" w:hAnsi="宋体"/>
          <w:szCs w:val="21"/>
        </w:rPr>
      </w:pPr>
      <w:r>
        <w:rPr>
          <w:rFonts w:hint="eastAsia" w:ascii="宋体" w:hAnsi="宋体"/>
          <w:szCs w:val="21"/>
        </w:rPr>
        <w:t>①材料（工程设备）暂估价：</w:t>
      </w:r>
      <w:r>
        <w:rPr>
          <w:rFonts w:hint="eastAsia" w:ascii="宋体" w:hAnsi="宋体"/>
          <w:szCs w:val="21"/>
          <w:u w:val="single"/>
        </w:rPr>
        <w:t>按照第12.3.1项〔计量原则〕约定及对应定额消耗量确定的数量乘以监理人、跟审单位、发包人根据市场行情认质核价确定的价格进行结算</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②专业工程暂估价：</w:t>
      </w:r>
    </w:p>
    <w:p>
      <w:pPr>
        <w:spacing w:line="360" w:lineRule="auto"/>
        <w:ind w:right="105" w:rightChars="50" w:firstLine="420" w:firstLineChars="200"/>
        <w:jc w:val="left"/>
        <w:rPr>
          <w:rFonts w:ascii="宋体" w:hAnsi="宋体"/>
          <w:szCs w:val="21"/>
        </w:rPr>
      </w:pPr>
      <w:r>
        <w:rPr>
          <w:rFonts w:hint="eastAsia" w:ascii="宋体" w:hAnsi="宋体"/>
          <w:szCs w:val="21"/>
          <w:u w:val="single"/>
        </w:rPr>
        <w:t>1）对于不属于依法必须招标的暂估价项目：按发包人审定的价格进行结算</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u w:val="single"/>
        </w:rPr>
        <w:t>2）对于依法必须招标的暂估价项目：达到招标规模标准的暂估价内容，包括专业工程暂估价和材料设备暂估价均应招标确定，并按暂估价招标文件约定结算</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u w:val="single"/>
        </w:rPr>
        <w:t>3）总承包服务费：总承包服务费包干使用，结算时不作调整</w:t>
      </w:r>
      <w:r>
        <w:rPr>
          <w:rFonts w:hint="eastAsia" w:ascii="宋体" w:hAnsi="宋体"/>
          <w:szCs w:val="21"/>
        </w:rPr>
        <w:t>。</w:t>
      </w:r>
    </w:p>
    <w:p>
      <w:pPr>
        <w:tabs>
          <w:tab w:val="left" w:pos="711"/>
          <w:tab w:val="left" w:pos="2580"/>
        </w:tabs>
        <w:spacing w:line="360" w:lineRule="auto"/>
        <w:ind w:right="105" w:rightChars="50" w:firstLine="420" w:firstLineChars="200"/>
        <w:jc w:val="left"/>
        <w:textAlignment w:val="baseline"/>
        <w:rPr>
          <w:rFonts w:ascii="宋体" w:hAnsi="宋体"/>
          <w:szCs w:val="21"/>
        </w:rPr>
      </w:pPr>
      <w:r>
        <w:rPr>
          <w:rFonts w:hint="eastAsia" w:ascii="宋体" w:hAnsi="宋体"/>
          <w:szCs w:val="21"/>
        </w:rPr>
        <w:t>（4）价格调整：</w:t>
      </w:r>
      <w:r>
        <w:rPr>
          <w:rFonts w:hint="eastAsia" w:ascii="宋体" w:hAnsi="宋体"/>
          <w:szCs w:val="21"/>
          <w:u w:val="single"/>
        </w:rPr>
        <w:t>按照第11条〔价格调整〕约定约定执行</w:t>
      </w:r>
      <w:r>
        <w:rPr>
          <w:rFonts w:hint="eastAsia" w:ascii="宋体" w:hAnsi="宋体"/>
          <w:szCs w:val="21"/>
        </w:rPr>
        <w:t>。</w:t>
      </w:r>
    </w:p>
    <w:p>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rPr>
        <w:t>（5）工程变更、索赔与现场签证：</w:t>
      </w:r>
    </w:p>
    <w:p>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rPr>
        <w:t>1）工程变更：按照第10.4.1项〔变更估价原则〕约定确定为总价包干的，按审定包干总价计入结算；其余项目按照有效的竣工结算资料和第12.3.1项〔计量原则〕约定确定的工程量乘以相应的按照第10.4.1项〔变更估价原则〕约定确定综合单价来确定该部分结算价。</w:t>
      </w:r>
    </w:p>
    <w:p>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rPr>
        <w:t>2）索赔：按照第10.4.1项〔变更估价原则〕和第14.2.1项〔竣工结算办法〕约定执行。</w:t>
      </w:r>
    </w:p>
    <w:p>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rPr>
        <w:t>3）现场签证：按照第10.4.1项〔变更估价原则〕和第14.2.1项〔竣工结算办法〕约定执行。</w:t>
      </w:r>
    </w:p>
    <w:p>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rPr>
        <w:t>（6）奖励、罚金、违约金及其他费用：</w:t>
      </w:r>
      <w:r>
        <w:rPr>
          <w:rFonts w:hint="eastAsia" w:ascii="宋体" w:hAnsi="宋体"/>
          <w:szCs w:val="21"/>
          <w:u w:val="single"/>
        </w:rPr>
        <w:t>按实进行结算</w:t>
      </w:r>
      <w:r>
        <w:rPr>
          <w:rFonts w:hint="eastAsia" w:ascii="宋体" w:hAnsi="宋体"/>
          <w:szCs w:val="21"/>
        </w:rPr>
        <w:t>。</w:t>
      </w:r>
    </w:p>
    <w:p>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rPr>
        <w:t>（7）规费：已标价工程量清单中规费费用按《重庆市建设工程费用定额》（CQFYDE-2018）执行。</w:t>
      </w:r>
    </w:p>
    <w:p>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rPr>
        <w:t>（8）税金：包含增值税、城市维护建设税、教育费附加、地方教育附加以及环境保护税。其中增值税按《重庆市建设工程费用定额》（CQFYDE-2018）、《重庆市城乡建设委员会关于适用增值税新税率调整建设工程计价依据的通知》（渝建〔2019〕143号）规定执行，环境保护税按实结算。</w:t>
      </w:r>
    </w:p>
    <w:p>
      <w:pPr>
        <w:spacing w:line="360" w:lineRule="auto"/>
        <w:ind w:right="105" w:rightChars="50" w:firstLine="420" w:firstLineChars="200"/>
        <w:jc w:val="left"/>
        <w:rPr>
          <w:rFonts w:ascii="宋体" w:hAnsi="宋体"/>
          <w:szCs w:val="21"/>
        </w:rPr>
      </w:pPr>
      <w:r>
        <w:rPr>
          <w:rFonts w:hint="eastAsia" w:ascii="宋体" w:hAnsi="宋体"/>
          <w:szCs w:val="21"/>
        </w:rPr>
        <w:t>14.2.1.3竣工结算价</w:t>
      </w:r>
    </w:p>
    <w:p>
      <w:pPr>
        <w:tabs>
          <w:tab w:val="left" w:pos="711"/>
          <w:tab w:val="left" w:pos="2580"/>
        </w:tabs>
        <w:spacing w:line="360" w:lineRule="auto"/>
        <w:ind w:right="105" w:rightChars="50" w:firstLine="420" w:firstLineChars="200"/>
        <w:jc w:val="left"/>
        <w:textAlignment w:val="baseline"/>
        <w:rPr>
          <w:rFonts w:ascii="宋体" w:hAnsi="宋体"/>
          <w:szCs w:val="21"/>
          <w:u w:val="single"/>
        </w:rPr>
      </w:pPr>
      <w:bookmarkStart w:id="1136" w:name="_Hlk528660512"/>
      <w:r>
        <w:rPr>
          <w:rFonts w:hint="eastAsia" w:ascii="宋体" w:hAnsi="宋体"/>
          <w:szCs w:val="21"/>
        </w:rPr>
        <w:t>以发包人会同跟审单位、监理人、承包人根据有效资料共同确定竣工结算金额作为合同竣工结算价。</w:t>
      </w:r>
    </w:p>
    <w:bookmarkEnd w:id="1136"/>
    <w:p>
      <w:pPr>
        <w:spacing w:line="360" w:lineRule="auto"/>
        <w:ind w:right="105" w:rightChars="50" w:firstLine="420" w:firstLineChars="200"/>
        <w:jc w:val="left"/>
        <w:rPr>
          <w:rFonts w:ascii="宋体" w:hAnsi="宋体"/>
          <w:szCs w:val="21"/>
        </w:rPr>
      </w:pPr>
      <w:r>
        <w:rPr>
          <w:rFonts w:hint="eastAsia" w:ascii="宋体" w:hAnsi="宋体"/>
          <w:szCs w:val="21"/>
        </w:rPr>
        <w:t>14.2.2 竣工结算审核期限</w:t>
      </w:r>
    </w:p>
    <w:p>
      <w:pPr>
        <w:spacing w:line="360" w:lineRule="auto"/>
        <w:ind w:right="105" w:rightChars="50" w:firstLine="420" w:firstLineChars="200"/>
        <w:jc w:val="left"/>
        <w:rPr>
          <w:rFonts w:ascii="宋体" w:hAnsi="宋体"/>
          <w:szCs w:val="21"/>
        </w:rPr>
      </w:pPr>
      <w:r>
        <w:rPr>
          <w:rFonts w:hint="eastAsia" w:ascii="宋体" w:hAnsi="宋体"/>
          <w:szCs w:val="21"/>
        </w:rPr>
        <w:t>监理人审核竣工付款申请单的期限：</w:t>
      </w:r>
      <w:r>
        <w:rPr>
          <w:rFonts w:hint="eastAsia" w:ascii="宋体" w:hAnsi="宋体"/>
          <w:szCs w:val="21"/>
          <w:u w:val="single"/>
        </w:rPr>
        <w:t>不超过14日</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发包人审核竣工付款申请单的期限：</w:t>
      </w:r>
      <w:r>
        <w:rPr>
          <w:rFonts w:hint="eastAsia" w:ascii="宋体" w:hAnsi="宋体"/>
          <w:szCs w:val="21"/>
          <w:u w:val="single"/>
        </w:rPr>
        <w:t>不超过14日</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发包人完成竣工付款的期限：</w:t>
      </w:r>
      <w:r>
        <w:rPr>
          <w:rFonts w:hint="eastAsia" w:ascii="宋体" w:hAnsi="宋体"/>
          <w:szCs w:val="21"/>
          <w:u w:val="single"/>
        </w:rPr>
        <w:t>完成竣工付款申请单审核后28天内</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关于竣工付款证书异议部分复核的方式和程序： 按照第20条〔争议解决〕约定处理。</w:t>
      </w:r>
    </w:p>
    <w:p>
      <w:pPr>
        <w:pStyle w:val="8"/>
        <w:spacing w:before="0" w:after="0" w:line="360" w:lineRule="auto"/>
        <w:ind w:firstLine="422" w:firstLineChars="200"/>
        <w:rPr>
          <w:sz w:val="21"/>
          <w:szCs w:val="21"/>
        </w:rPr>
      </w:pPr>
      <w:bookmarkStart w:id="1137" w:name="_Toc532375659"/>
      <w:bookmarkStart w:id="1138" w:name="_Toc532377396"/>
      <w:r>
        <w:rPr>
          <w:rFonts w:hint="eastAsia"/>
          <w:sz w:val="21"/>
          <w:szCs w:val="21"/>
        </w:rPr>
        <w:t>14.4 最终结清</w:t>
      </w:r>
      <w:bookmarkEnd w:id="1137"/>
      <w:bookmarkEnd w:id="1138"/>
    </w:p>
    <w:p>
      <w:pPr>
        <w:spacing w:line="360" w:lineRule="auto"/>
        <w:ind w:right="105" w:rightChars="50" w:firstLine="420" w:firstLineChars="200"/>
        <w:jc w:val="left"/>
        <w:rPr>
          <w:rFonts w:ascii="宋体" w:hAnsi="宋体"/>
          <w:szCs w:val="21"/>
        </w:rPr>
      </w:pPr>
      <w:r>
        <w:rPr>
          <w:rFonts w:hint="eastAsia" w:ascii="宋体" w:hAnsi="宋体"/>
          <w:szCs w:val="21"/>
        </w:rPr>
        <w:t>14.4.1 最终结清申请单</w:t>
      </w:r>
    </w:p>
    <w:p>
      <w:pPr>
        <w:spacing w:line="360" w:lineRule="auto"/>
        <w:ind w:right="105" w:rightChars="50" w:firstLine="420" w:firstLineChars="200"/>
        <w:jc w:val="left"/>
        <w:rPr>
          <w:rFonts w:ascii="宋体" w:hAnsi="宋体"/>
          <w:szCs w:val="21"/>
        </w:rPr>
      </w:pPr>
      <w:r>
        <w:rPr>
          <w:rFonts w:hint="eastAsia" w:ascii="宋体" w:hAnsi="宋体"/>
          <w:szCs w:val="21"/>
        </w:rPr>
        <w:t>承包人提交最终结清申请单的份数：</w:t>
      </w:r>
      <w:r>
        <w:rPr>
          <w:rFonts w:hint="eastAsia" w:ascii="宋体" w:hAnsi="宋体"/>
          <w:szCs w:val="21"/>
          <w:u w:val="single"/>
        </w:rPr>
        <w:t>3份</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承包人提交最终结算申请单的期限：</w:t>
      </w:r>
      <w:r>
        <w:rPr>
          <w:rFonts w:hint="eastAsia" w:ascii="宋体" w:hAnsi="宋体"/>
          <w:szCs w:val="21"/>
          <w:u w:val="single"/>
        </w:rPr>
        <w:t>缺陷责任期终止证书颁发后14天内</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14.4.2 最终结清证书和支付</w:t>
      </w:r>
    </w:p>
    <w:p>
      <w:pPr>
        <w:spacing w:line="360" w:lineRule="auto"/>
        <w:ind w:right="105" w:rightChars="50" w:firstLine="420" w:firstLineChars="200"/>
        <w:jc w:val="left"/>
        <w:rPr>
          <w:rFonts w:ascii="宋体" w:hAnsi="宋体"/>
          <w:szCs w:val="21"/>
        </w:rPr>
      </w:pPr>
      <w:r>
        <w:rPr>
          <w:rFonts w:hint="eastAsia" w:ascii="宋体" w:hAnsi="宋体"/>
          <w:szCs w:val="21"/>
        </w:rPr>
        <w:t>（1）发包人完成最终结清申请单的审批并颁发最终结清证书的期限：</w:t>
      </w:r>
      <w:r>
        <w:rPr>
          <w:rFonts w:hint="eastAsia" w:ascii="宋体" w:hAnsi="宋体"/>
          <w:szCs w:val="21"/>
          <w:u w:val="single"/>
        </w:rPr>
        <w:t>发包人收到完整资料后14天内完成审批并颁发最终结清证书</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（2）发包人完成支付的期限：</w:t>
      </w:r>
      <w:r>
        <w:rPr>
          <w:rFonts w:hint="eastAsia" w:ascii="宋体" w:hAnsi="宋体"/>
          <w:szCs w:val="21"/>
          <w:u w:val="single"/>
        </w:rPr>
        <w:t>颁发最终结清证书的14天内</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本条补充14.5款：</w:t>
      </w:r>
    </w:p>
    <w:bookmarkEnd w:id="1098"/>
    <w:bookmarkEnd w:id="1099"/>
    <w:bookmarkEnd w:id="1100"/>
    <w:bookmarkEnd w:id="1101"/>
    <w:bookmarkEnd w:id="1102"/>
    <w:bookmarkEnd w:id="1103"/>
    <w:bookmarkEnd w:id="1104"/>
    <w:bookmarkEnd w:id="1105"/>
    <w:p>
      <w:pPr>
        <w:pStyle w:val="8"/>
        <w:spacing w:before="0" w:after="0" w:line="360" w:lineRule="auto"/>
        <w:ind w:firstLine="422" w:firstLineChars="200"/>
        <w:rPr>
          <w:sz w:val="21"/>
          <w:szCs w:val="21"/>
        </w:rPr>
      </w:pPr>
      <w:bookmarkStart w:id="1139" w:name="_Toc532377397"/>
      <w:bookmarkStart w:id="1140" w:name="_Toc532375660"/>
      <w:r>
        <w:rPr>
          <w:rFonts w:hint="eastAsia"/>
          <w:sz w:val="21"/>
          <w:szCs w:val="21"/>
        </w:rPr>
        <w:t>14.5 逾期办理或不配合办理竣工结算的处理</w:t>
      </w:r>
      <w:bookmarkEnd w:id="1139"/>
      <w:bookmarkEnd w:id="1140"/>
    </w:p>
    <w:p>
      <w:pPr>
        <w:spacing w:line="360" w:lineRule="auto"/>
        <w:ind w:right="105" w:rightChars="50" w:firstLine="420" w:firstLineChars="200"/>
        <w:jc w:val="left"/>
        <w:rPr>
          <w:rFonts w:ascii="宋体" w:hAnsi="宋体"/>
          <w:szCs w:val="21"/>
        </w:rPr>
      </w:pPr>
      <w:r>
        <w:rPr>
          <w:rFonts w:hint="eastAsia" w:ascii="宋体" w:hAnsi="宋体"/>
          <w:szCs w:val="21"/>
        </w:rPr>
        <w:t>有下列情形之一的，视为承包人放弃与发包人共同办理竣工结算的权利，发包人有权会同跟审单位、监理人根据有效资料共同确定竣工结算金额。</w:t>
      </w:r>
    </w:p>
    <w:p>
      <w:pPr>
        <w:spacing w:line="360" w:lineRule="auto"/>
        <w:ind w:right="105" w:rightChars="50" w:firstLine="420" w:firstLineChars="200"/>
        <w:jc w:val="left"/>
        <w:rPr>
          <w:rFonts w:ascii="宋体" w:hAnsi="宋体"/>
          <w:szCs w:val="21"/>
        </w:rPr>
      </w:pPr>
      <w:r>
        <w:rPr>
          <w:rFonts w:hint="eastAsia" w:ascii="宋体" w:hAnsi="宋体"/>
          <w:szCs w:val="21"/>
        </w:rPr>
        <w:t>（1）承包人逾期未报送竣工结算资料，亦未获得发包人批准延期报送，经发包人两</w:t>
      </w:r>
      <w:bookmarkStart w:id="1141" w:name="_Hlk529133622"/>
      <w:r>
        <w:rPr>
          <w:rFonts w:hint="eastAsia" w:ascii="宋体" w:hAnsi="宋体"/>
          <w:szCs w:val="21"/>
        </w:rPr>
        <w:t>次书面催告仍未在限期内报送的</w:t>
      </w:r>
      <w:bookmarkEnd w:id="1141"/>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pPr>
        <w:spacing w:line="360" w:lineRule="auto"/>
        <w:ind w:right="105" w:rightChars="50" w:firstLine="420" w:firstLineChars="200"/>
        <w:jc w:val="left"/>
        <w:rPr>
          <w:rFonts w:ascii="宋体" w:hAnsi="宋体"/>
          <w:szCs w:val="21"/>
        </w:rPr>
      </w:pPr>
      <w:r>
        <w:rPr>
          <w:rFonts w:hint="eastAsia" w:ascii="宋体" w:hAnsi="宋体"/>
          <w:szCs w:val="21"/>
        </w:rPr>
        <w:t>（3）承包人不配合发包人、跟审单位、监理人、发包人委托的工程造价咨询服务单位办理竣工结算的，经发包人两次书面函告仍未改正的。</w:t>
      </w:r>
    </w:p>
    <w:p>
      <w:pPr>
        <w:spacing w:line="360" w:lineRule="auto"/>
        <w:ind w:right="105" w:rightChars="50" w:firstLine="420" w:firstLineChars="200"/>
        <w:jc w:val="left"/>
        <w:rPr>
          <w:rFonts w:ascii="宋体" w:hAnsi="宋体"/>
          <w:szCs w:val="21"/>
        </w:rPr>
      </w:pPr>
      <w:r>
        <w:rPr>
          <w:rFonts w:hint="eastAsia" w:ascii="宋体" w:hAnsi="宋体"/>
          <w:szCs w:val="21"/>
        </w:rPr>
        <w:t xml:space="preserve">（4） 工程结算以发包人委托的审计机构审核的金额为准。承包人要认真准确办理结算，若工程结算审减率在10%（含）以上的，则审计费用由承包人承担。 </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hint="eastAsia" w:ascii="宋体" w:hAnsi="宋体"/>
          <w:szCs w:val="21"/>
        </w:rPr>
        <w:t>。</w:t>
      </w:r>
    </w:p>
    <w:bookmarkEnd w:id="835"/>
    <w:bookmarkEnd w:id="836"/>
    <w:bookmarkEnd w:id="837"/>
    <w:bookmarkEnd w:id="838"/>
    <w:bookmarkEnd w:id="839"/>
    <w:bookmarkEnd w:id="840"/>
    <w:bookmarkEnd w:id="841"/>
    <w:bookmarkEnd w:id="842"/>
    <w:p>
      <w:pPr>
        <w:pStyle w:val="7"/>
        <w:spacing w:before="120" w:beforeLines="50" w:after="120" w:afterLines="50" w:line="360" w:lineRule="auto"/>
        <w:rPr>
          <w:sz w:val="21"/>
          <w:szCs w:val="21"/>
        </w:rPr>
      </w:pPr>
      <w:bookmarkStart w:id="1142" w:name="_Toc532375661"/>
      <w:bookmarkStart w:id="1143" w:name="_Toc351203647"/>
      <w:bookmarkStart w:id="1144" w:name="_Toc532377398"/>
      <w:bookmarkStart w:id="1145" w:name="_Toc267251483"/>
      <w:bookmarkStart w:id="1146" w:name="_Toc280868718"/>
      <w:bookmarkStart w:id="1147" w:name="_Toc280868717"/>
      <w:r>
        <w:rPr>
          <w:rFonts w:hint="eastAsia"/>
          <w:sz w:val="21"/>
          <w:szCs w:val="21"/>
        </w:rPr>
        <w:t>15. 缺陷责任期与保修</w:t>
      </w:r>
      <w:bookmarkEnd w:id="1142"/>
      <w:bookmarkEnd w:id="1143"/>
      <w:bookmarkEnd w:id="1144"/>
    </w:p>
    <w:bookmarkEnd w:id="1145"/>
    <w:p>
      <w:pPr>
        <w:pStyle w:val="8"/>
        <w:spacing w:before="0" w:after="0" w:line="360" w:lineRule="auto"/>
        <w:ind w:firstLine="422" w:firstLineChars="200"/>
        <w:rPr>
          <w:sz w:val="21"/>
          <w:szCs w:val="21"/>
        </w:rPr>
      </w:pPr>
      <w:bookmarkStart w:id="1148" w:name="_Toc532377399"/>
      <w:bookmarkStart w:id="1149" w:name="_Toc532375662"/>
      <w:r>
        <w:rPr>
          <w:rFonts w:hint="eastAsia"/>
          <w:sz w:val="21"/>
          <w:szCs w:val="21"/>
        </w:rPr>
        <w:t>15.3 质量保证金</w:t>
      </w:r>
      <w:bookmarkEnd w:id="1148"/>
      <w:bookmarkEnd w:id="1149"/>
    </w:p>
    <w:p>
      <w:pPr>
        <w:spacing w:line="360" w:lineRule="auto"/>
        <w:ind w:right="105" w:rightChars="50" w:firstLine="420" w:firstLineChars="200"/>
        <w:jc w:val="left"/>
        <w:rPr>
          <w:rFonts w:ascii="宋体" w:hAnsi="宋体"/>
          <w:szCs w:val="21"/>
        </w:rPr>
      </w:pPr>
      <w:r>
        <w:rPr>
          <w:rFonts w:hint="eastAsia" w:ascii="宋体" w:hAnsi="宋体"/>
          <w:szCs w:val="21"/>
        </w:rPr>
        <w:t>15.3.1 承包人提供质量保证金的方式</w:t>
      </w:r>
    </w:p>
    <w:p>
      <w:pPr>
        <w:spacing w:line="360" w:lineRule="auto"/>
        <w:ind w:right="105" w:rightChars="50" w:firstLine="420" w:firstLineChars="200"/>
        <w:jc w:val="left"/>
        <w:rPr>
          <w:rFonts w:ascii="宋体" w:hAnsi="宋体"/>
          <w:szCs w:val="21"/>
        </w:rPr>
      </w:pPr>
      <w:r>
        <w:rPr>
          <w:rFonts w:hint="eastAsia" w:ascii="宋体" w:hAnsi="宋体"/>
          <w:szCs w:val="21"/>
        </w:rPr>
        <w:t>质量保证金采用以下第</w:t>
      </w:r>
      <w:r>
        <w:rPr>
          <w:rFonts w:hint="eastAsia" w:ascii="宋体" w:hAnsi="宋体"/>
          <w:szCs w:val="21"/>
          <w:u w:val="single"/>
        </w:rPr>
        <w:t>（2）</w:t>
      </w:r>
      <w:r>
        <w:rPr>
          <w:rFonts w:hint="eastAsia" w:ascii="宋体" w:hAnsi="宋体"/>
          <w:szCs w:val="21"/>
        </w:rPr>
        <w:t>种方式：</w:t>
      </w:r>
    </w:p>
    <w:p>
      <w:pPr>
        <w:spacing w:line="360" w:lineRule="auto"/>
        <w:ind w:right="105" w:rightChars="50" w:firstLine="420" w:firstLineChars="200"/>
        <w:jc w:val="left"/>
        <w:rPr>
          <w:rFonts w:ascii="宋体" w:hAnsi="宋体"/>
          <w:szCs w:val="21"/>
        </w:rPr>
      </w:pPr>
      <w:r>
        <w:rPr>
          <w:rFonts w:hint="eastAsia" w:ascii="宋体" w:hAnsi="宋体"/>
          <w:szCs w:val="21"/>
        </w:rPr>
        <w:t>（1）质量保证金保函</w:t>
      </w:r>
    </w:p>
    <w:p>
      <w:pPr>
        <w:spacing w:line="360" w:lineRule="auto"/>
        <w:ind w:right="105" w:rightChars="50" w:firstLine="420" w:firstLineChars="200"/>
        <w:jc w:val="left"/>
        <w:rPr>
          <w:rFonts w:ascii="宋体" w:hAnsi="宋体"/>
          <w:szCs w:val="21"/>
        </w:rPr>
      </w:pPr>
      <w:r>
        <w:rPr>
          <w:rFonts w:hint="eastAsia" w:ascii="宋体" w:hAnsi="宋体"/>
          <w:szCs w:val="21"/>
          <w:u w:val="single"/>
        </w:rPr>
        <w:t>1）按招标文件载明的格式或发包人认可的格式向发包人提交不可撤销的不可撤销的见索即付银行保函</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2）出具保函的银行级别：</w:t>
      </w:r>
      <w:r>
        <w:rPr>
          <w:rFonts w:hint="eastAsia" w:ascii="宋体" w:hAnsi="宋体"/>
          <w:szCs w:val="21"/>
          <w:u w:val="single"/>
        </w:rPr>
        <w:t>地市级及以上国家政策性银行或股份制商业银行的支行或其上级银行</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3）保函金额为：</w:t>
      </w:r>
      <w:r>
        <w:rPr>
          <w:rFonts w:hint="eastAsia" w:ascii="宋体" w:hAnsi="宋体"/>
          <w:szCs w:val="21"/>
          <w:u w:val="single"/>
        </w:rPr>
        <w:t xml:space="preserve">    </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4）提交时间：</w:t>
      </w:r>
      <w:r>
        <w:rPr>
          <w:rFonts w:hint="eastAsia" w:ascii="宋体" w:hAnsi="宋体"/>
          <w:szCs w:val="21"/>
          <w:u w:val="single"/>
        </w:rPr>
        <w:t>工程竣工验收合格后14天内</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u w:val="single"/>
        </w:rPr>
        <w:t>承包人提交质量保证金保函的，发包人应同时退还（若有）扣留的作为质量保证金的工程价款、履约担保、低价风险担保；保函金额不得超过工程价款结算总额的3%</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（2）竣工结算价的</w:t>
      </w:r>
      <w:r>
        <w:rPr>
          <w:rFonts w:hint="eastAsia" w:ascii="宋体" w:hAnsi="宋体"/>
          <w:szCs w:val="21"/>
          <w:u w:val="single"/>
        </w:rPr>
        <w:t xml:space="preserve"> 3% </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（3）其他方式:</w:t>
      </w:r>
      <w:r>
        <w:rPr>
          <w:rFonts w:hint="eastAsia" w:ascii="宋体" w:hAnsi="宋体"/>
          <w:szCs w:val="21"/>
          <w:u w:val="single"/>
        </w:rPr>
        <w:t xml:space="preserve"> / </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15.3.2 质量保证金的扣留</w:t>
      </w:r>
    </w:p>
    <w:p>
      <w:pPr>
        <w:spacing w:line="360" w:lineRule="auto"/>
        <w:ind w:right="105" w:rightChars="50" w:firstLine="420" w:firstLineChars="200"/>
        <w:jc w:val="left"/>
        <w:rPr>
          <w:rFonts w:ascii="宋体" w:hAnsi="宋体"/>
          <w:szCs w:val="21"/>
        </w:rPr>
      </w:pPr>
      <w:r>
        <w:rPr>
          <w:rFonts w:hint="eastAsia" w:ascii="宋体" w:hAnsi="宋体"/>
          <w:szCs w:val="21"/>
        </w:rPr>
        <w:t>质量保证金的扣留采取以下第</w:t>
      </w:r>
      <w:r>
        <w:rPr>
          <w:rFonts w:hint="eastAsia" w:ascii="宋体" w:hAnsi="宋体"/>
          <w:szCs w:val="21"/>
          <w:u w:val="single"/>
        </w:rPr>
        <w:t>（2）</w:t>
      </w:r>
      <w:r>
        <w:rPr>
          <w:rFonts w:hint="eastAsia" w:ascii="宋体" w:hAnsi="宋体"/>
          <w:szCs w:val="21"/>
        </w:rPr>
        <w:t>种方式：</w:t>
      </w:r>
    </w:p>
    <w:p>
      <w:pPr>
        <w:spacing w:line="360" w:lineRule="auto"/>
        <w:ind w:right="105" w:rightChars="50" w:firstLine="420" w:firstLineChars="200"/>
        <w:jc w:val="left"/>
        <w:rPr>
          <w:rFonts w:ascii="宋体" w:hAnsi="宋体"/>
          <w:szCs w:val="21"/>
        </w:rPr>
      </w:pPr>
      <w:r>
        <w:rPr>
          <w:rFonts w:hint="eastAsia" w:ascii="宋体" w:hAnsi="宋体"/>
          <w:szCs w:val="21"/>
        </w:rPr>
        <w:t>（1）在支付工程进度款时逐次扣留，在此情形下，质量保证金的计算基数不包括预付款的支付、扣回以及价格调整的金额；</w:t>
      </w:r>
    </w:p>
    <w:p>
      <w:pPr>
        <w:spacing w:line="360" w:lineRule="auto"/>
        <w:ind w:right="105" w:rightChars="50" w:firstLine="420" w:firstLineChars="200"/>
        <w:jc w:val="left"/>
        <w:rPr>
          <w:rFonts w:ascii="宋体" w:hAnsi="宋体"/>
          <w:szCs w:val="21"/>
        </w:rPr>
      </w:pPr>
      <w:r>
        <w:rPr>
          <w:rFonts w:hint="eastAsia" w:ascii="宋体" w:hAnsi="宋体"/>
          <w:szCs w:val="21"/>
        </w:rPr>
        <w:t>（2）工程竣工结算时一次性扣留质量保证金；</w:t>
      </w:r>
    </w:p>
    <w:p>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rPr>
        <w:t>（3）</w:t>
      </w:r>
      <w:r>
        <w:rPr>
          <w:rFonts w:hint="eastAsia" w:ascii="宋体" w:hAnsi="宋体"/>
          <w:szCs w:val="21"/>
          <w:u w:val="single"/>
        </w:rPr>
        <w:t xml:space="preserve">其他扣留方式：        </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15.3.3质量保证金的退还</w:t>
      </w:r>
    </w:p>
    <w:p>
      <w:pPr>
        <w:spacing w:line="360" w:lineRule="auto"/>
        <w:ind w:right="105" w:rightChars="50" w:firstLine="420" w:firstLineChars="200"/>
        <w:jc w:val="left"/>
        <w:rPr>
          <w:rFonts w:ascii="宋体" w:hAnsi="宋体"/>
          <w:szCs w:val="21"/>
        </w:rPr>
      </w:pPr>
      <w:r>
        <w:rPr>
          <w:rFonts w:hint="eastAsia" w:ascii="宋体" w:hAnsi="宋体"/>
          <w:szCs w:val="21"/>
        </w:rPr>
        <w:t>（1）在发包人颁发缺陷责任期终止证书之日起14天内退还。</w:t>
      </w:r>
    </w:p>
    <w:p>
      <w:pPr>
        <w:spacing w:line="360" w:lineRule="auto"/>
        <w:ind w:right="105" w:rightChars="50" w:firstLine="420" w:firstLineChars="200"/>
        <w:jc w:val="left"/>
        <w:rPr>
          <w:rFonts w:ascii="宋体" w:hAnsi="宋体"/>
          <w:szCs w:val="21"/>
        </w:rPr>
      </w:pPr>
      <w:r>
        <w:rPr>
          <w:rFonts w:hint="eastAsia" w:ascii="宋体" w:hAnsi="宋体"/>
          <w:szCs w:val="21"/>
        </w:rPr>
        <w:t>（2）缺陷责任期内，承包人认真履行合同约定的责任，到期后，承包人可向发包人申请返还质量保证金。</w:t>
      </w:r>
    </w:p>
    <w:p>
      <w:pPr>
        <w:spacing w:line="360" w:lineRule="auto"/>
        <w:ind w:right="105" w:rightChars="50" w:firstLine="420" w:firstLineChars="200"/>
        <w:jc w:val="left"/>
        <w:rPr>
          <w:rFonts w:ascii="宋体" w:hAnsi="宋体"/>
          <w:szCs w:val="21"/>
        </w:rPr>
      </w:pPr>
      <w:r>
        <w:rPr>
          <w:rFonts w:hint="eastAsia" w:ascii="宋体" w:hAnsi="宋体"/>
          <w:szCs w:val="21"/>
        </w:rPr>
        <w:t>（3）质量保证金是否支付利息采取以下第②种方式：</w:t>
      </w:r>
    </w:p>
    <w:p>
      <w:pPr>
        <w:spacing w:line="360" w:lineRule="auto"/>
        <w:ind w:right="105" w:rightChars="50" w:firstLine="420" w:firstLineChars="200"/>
        <w:jc w:val="left"/>
        <w:rPr>
          <w:rFonts w:ascii="宋体" w:hAnsi="宋体"/>
          <w:szCs w:val="21"/>
        </w:rPr>
      </w:pPr>
      <w:r>
        <w:rPr>
          <w:rFonts w:hint="eastAsia" w:ascii="宋体" w:hAnsi="宋体"/>
          <w:szCs w:val="21"/>
          <w:u w:val="single"/>
        </w:rPr>
        <w:t>①按照中国人民银行发布的同期同类贷款基准利率支付利息</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u w:val="single"/>
        </w:rPr>
        <w:t>②不采用</w:t>
      </w:r>
      <w:r>
        <w:rPr>
          <w:rFonts w:hint="eastAsia" w:ascii="宋体" w:hAnsi="宋体"/>
          <w:szCs w:val="21"/>
        </w:rPr>
        <w:t>。</w:t>
      </w:r>
    </w:p>
    <w:p>
      <w:pPr>
        <w:pStyle w:val="8"/>
        <w:spacing w:before="0" w:after="0" w:line="360" w:lineRule="auto"/>
        <w:ind w:firstLine="422" w:firstLineChars="200"/>
        <w:rPr>
          <w:sz w:val="21"/>
          <w:szCs w:val="21"/>
        </w:rPr>
      </w:pPr>
      <w:bookmarkStart w:id="1150" w:name="_Toc532377400"/>
      <w:bookmarkStart w:id="1151" w:name="_Toc532375663"/>
      <w:r>
        <w:rPr>
          <w:rFonts w:hint="eastAsia"/>
          <w:sz w:val="21"/>
          <w:szCs w:val="21"/>
        </w:rPr>
        <w:t>15.4 保修</w:t>
      </w:r>
      <w:bookmarkEnd w:id="1150"/>
      <w:bookmarkEnd w:id="1151"/>
    </w:p>
    <w:p>
      <w:pPr>
        <w:spacing w:line="360" w:lineRule="auto"/>
        <w:ind w:right="105" w:rightChars="50" w:firstLine="420" w:firstLineChars="200"/>
        <w:jc w:val="left"/>
        <w:rPr>
          <w:rFonts w:ascii="宋体" w:hAnsi="宋体"/>
          <w:szCs w:val="21"/>
        </w:rPr>
      </w:pPr>
      <w:r>
        <w:rPr>
          <w:rFonts w:hint="eastAsia" w:ascii="宋体" w:hAnsi="宋体"/>
          <w:szCs w:val="21"/>
        </w:rPr>
        <w:t>15.4.1 保修责任</w:t>
      </w:r>
    </w:p>
    <w:p>
      <w:pPr>
        <w:spacing w:line="360" w:lineRule="auto"/>
        <w:ind w:right="105" w:rightChars="50" w:firstLine="420" w:firstLineChars="200"/>
        <w:jc w:val="left"/>
        <w:rPr>
          <w:rFonts w:ascii="宋体" w:hAnsi="宋体"/>
          <w:szCs w:val="21"/>
        </w:rPr>
      </w:pPr>
      <w:r>
        <w:rPr>
          <w:rFonts w:hint="eastAsia" w:ascii="宋体" w:hAnsi="宋体"/>
          <w:szCs w:val="21"/>
        </w:rPr>
        <w:t>工程保修期为：</w:t>
      </w:r>
      <w:bookmarkStart w:id="1152" w:name="_Hlk524381274"/>
      <w:r>
        <w:rPr>
          <w:rFonts w:hint="eastAsia" w:ascii="宋体" w:hAnsi="宋体"/>
          <w:szCs w:val="21"/>
        </w:rPr>
        <w:t>按照附件1《工程质量保修书》的规定执行。</w:t>
      </w:r>
      <w:bookmarkEnd w:id="1152"/>
    </w:p>
    <w:p>
      <w:pPr>
        <w:spacing w:line="360" w:lineRule="auto"/>
        <w:ind w:right="105" w:rightChars="50" w:firstLine="420" w:firstLineChars="200"/>
        <w:jc w:val="left"/>
        <w:rPr>
          <w:rFonts w:ascii="宋体" w:hAnsi="宋体"/>
          <w:szCs w:val="21"/>
        </w:rPr>
      </w:pPr>
      <w:r>
        <w:rPr>
          <w:rFonts w:hint="eastAsia" w:ascii="宋体" w:hAnsi="宋体"/>
          <w:szCs w:val="21"/>
        </w:rPr>
        <w:t>15.4.3 修复通知</w:t>
      </w:r>
    </w:p>
    <w:p>
      <w:pPr>
        <w:spacing w:line="360" w:lineRule="auto"/>
        <w:ind w:right="105" w:rightChars="50" w:firstLine="420" w:firstLineChars="200"/>
        <w:jc w:val="left"/>
        <w:rPr>
          <w:rFonts w:ascii="宋体" w:hAnsi="宋体"/>
          <w:szCs w:val="21"/>
        </w:rPr>
      </w:pPr>
      <w:r>
        <w:rPr>
          <w:rFonts w:hint="eastAsia" w:ascii="宋体" w:hAnsi="宋体"/>
          <w:szCs w:val="21"/>
        </w:rPr>
        <w:t>承包人收到保修通知并到达工程现场的合理时间：</w:t>
      </w:r>
      <w:r>
        <w:rPr>
          <w:rFonts w:hint="eastAsia" w:ascii="宋体" w:hAnsi="宋体"/>
          <w:szCs w:val="21"/>
          <w:u w:val="single"/>
        </w:rPr>
        <w:t>12小时内，最长不能超过24小时</w:t>
      </w:r>
      <w:r>
        <w:rPr>
          <w:rFonts w:hint="eastAsia" w:ascii="宋体" w:hAnsi="宋体"/>
          <w:szCs w:val="21"/>
        </w:rPr>
        <w:t>。</w:t>
      </w:r>
    </w:p>
    <w:p>
      <w:pPr>
        <w:pStyle w:val="7"/>
        <w:spacing w:before="120" w:beforeLines="50" w:after="120" w:afterLines="50" w:line="360" w:lineRule="auto"/>
        <w:rPr>
          <w:sz w:val="21"/>
          <w:szCs w:val="21"/>
        </w:rPr>
      </w:pPr>
      <w:bookmarkStart w:id="1153" w:name="_Toc351203648"/>
      <w:bookmarkStart w:id="1154" w:name="_Toc532375664"/>
      <w:bookmarkStart w:id="1155" w:name="_Toc532377401"/>
      <w:r>
        <w:rPr>
          <w:rFonts w:hint="eastAsia"/>
          <w:sz w:val="21"/>
          <w:szCs w:val="21"/>
        </w:rPr>
        <w:t>16. 违约</w:t>
      </w:r>
      <w:bookmarkEnd w:id="1153"/>
      <w:bookmarkEnd w:id="1154"/>
      <w:bookmarkEnd w:id="1155"/>
    </w:p>
    <w:p>
      <w:pPr>
        <w:pStyle w:val="8"/>
        <w:spacing w:before="0" w:after="0" w:line="360" w:lineRule="auto"/>
        <w:ind w:firstLine="422" w:firstLineChars="200"/>
        <w:rPr>
          <w:sz w:val="21"/>
          <w:szCs w:val="21"/>
        </w:rPr>
      </w:pPr>
      <w:bookmarkStart w:id="1156" w:name="_Toc532377402"/>
      <w:r>
        <w:rPr>
          <w:rFonts w:hint="eastAsia"/>
          <w:sz w:val="21"/>
          <w:szCs w:val="21"/>
        </w:rPr>
        <w:t>16.1 发包人违约</w:t>
      </w:r>
      <w:bookmarkEnd w:id="1156"/>
    </w:p>
    <w:p>
      <w:pPr>
        <w:spacing w:line="360" w:lineRule="auto"/>
        <w:ind w:firstLine="420" w:firstLineChars="200"/>
        <w:rPr>
          <w:rFonts w:ascii="宋体" w:hAnsi="宋体"/>
          <w:szCs w:val="21"/>
        </w:rPr>
      </w:pPr>
      <w:r>
        <w:rPr>
          <w:rFonts w:hint="eastAsia" w:ascii="宋体" w:hAnsi="宋体"/>
          <w:szCs w:val="21"/>
        </w:rPr>
        <w:t>16.1.1 发包人违约的情形</w:t>
      </w:r>
    </w:p>
    <w:p>
      <w:pPr>
        <w:spacing w:line="360" w:lineRule="auto"/>
        <w:ind w:firstLine="420" w:firstLineChars="200"/>
        <w:rPr>
          <w:rFonts w:ascii="宋体" w:hAnsi="宋体"/>
          <w:szCs w:val="21"/>
        </w:rPr>
      </w:pPr>
      <w:r>
        <w:rPr>
          <w:rFonts w:hint="eastAsia" w:ascii="宋体" w:hAnsi="宋体" w:cs="Microsoft Sans Serif"/>
          <w:kern w:val="0"/>
          <w:szCs w:val="21"/>
        </w:rPr>
        <w:t>除通用合同条款约定外，发包人违约的其他情形：</w:t>
      </w:r>
    </w:p>
    <w:p>
      <w:pPr>
        <w:spacing w:line="360" w:lineRule="auto"/>
        <w:ind w:firstLine="420" w:firstLineChars="200"/>
        <w:rPr>
          <w:rFonts w:ascii="宋体" w:hAnsi="宋体"/>
          <w:szCs w:val="21"/>
        </w:rPr>
      </w:pPr>
      <w:r>
        <w:rPr>
          <w:rFonts w:hint="eastAsia" w:ascii="宋体" w:hAnsi="宋体" w:cs="Microsoft Sans Serif"/>
          <w:kern w:val="0"/>
          <w:szCs w:val="21"/>
        </w:rPr>
        <w:t>（1）根据专用合同条款7.5.1项因发包人原因导致工期延误的；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（2）因发包人原因未能及时办理完毕合同约定的许可、批准或备案的；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（3）因监理人未能按合同约定发出指示、指示延误或发出了错误指示而导致承包人费用增加和（或）工期延误的；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（4）根据5.3.3发包人或监理人要求重新检查的，经检查证明工程质量符合合同要求的，并由此产生增加的费用和（或）延误的工期的；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（5）因发包人原因造成工程质量未达到合同约定标准的；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（6）由于发包人原因对承包人造成的人员人身伤亡和财产损失的；</w:t>
      </w:r>
    </w:p>
    <w:p>
      <w:pPr>
        <w:pStyle w:val="206"/>
        <w:spacing w:line="360" w:lineRule="auto"/>
        <w:jc w:val="left"/>
        <w:rPr>
          <w:rFonts w:ascii="宋体" w:hAnsi="宋体" w:cs="Microsoft Sans Serif"/>
          <w:kern w:val="0"/>
          <w:sz w:val="21"/>
          <w:szCs w:val="21"/>
        </w:rPr>
      </w:pPr>
      <w:r>
        <w:rPr>
          <w:rFonts w:hint="eastAsia" w:ascii="宋体" w:hAnsi="宋体" w:cs="Microsoft Sans Serif"/>
          <w:kern w:val="0"/>
          <w:sz w:val="21"/>
          <w:szCs w:val="21"/>
        </w:rPr>
        <w:t>（7）因发包人原因导致工程无法按期办理竣工验收或竣工结算的；</w:t>
      </w:r>
    </w:p>
    <w:p>
      <w:pPr>
        <w:pStyle w:val="206"/>
        <w:spacing w:line="360" w:lineRule="auto"/>
        <w:jc w:val="left"/>
        <w:rPr>
          <w:rFonts w:ascii="宋体" w:hAnsi="宋体" w:cs="Microsoft Sans Serif"/>
          <w:kern w:val="0"/>
          <w:sz w:val="21"/>
          <w:szCs w:val="21"/>
        </w:rPr>
      </w:pPr>
      <w:r>
        <w:rPr>
          <w:rFonts w:hint="eastAsia" w:ascii="宋体" w:hAnsi="宋体" w:cs="Microsoft Sans Serif"/>
          <w:kern w:val="0"/>
          <w:sz w:val="21"/>
          <w:szCs w:val="21"/>
        </w:rPr>
        <w:t>（8）发包人无正当理由未按约定退还履约担保、低价风险担保、预付款担保或质量保证金的；</w:t>
      </w:r>
    </w:p>
    <w:p>
      <w:pPr>
        <w:pStyle w:val="206"/>
        <w:spacing w:line="360" w:lineRule="auto"/>
        <w:jc w:val="left"/>
        <w:rPr>
          <w:rFonts w:ascii="宋体" w:hAnsi="宋体" w:cs="Microsoft Sans Serif"/>
          <w:kern w:val="0"/>
          <w:sz w:val="21"/>
          <w:szCs w:val="21"/>
        </w:rPr>
      </w:pPr>
      <w:r>
        <w:rPr>
          <w:rFonts w:hint="eastAsia" w:ascii="宋体" w:hAnsi="宋体" w:cs="Microsoft Sans Serif"/>
          <w:kern w:val="0"/>
          <w:sz w:val="21"/>
          <w:szCs w:val="21"/>
        </w:rPr>
        <w:t>（9）发包人不当提取履约担保、低价风险担保或质量保证金的；</w:t>
      </w:r>
    </w:p>
    <w:p>
      <w:pPr>
        <w:pStyle w:val="206"/>
        <w:spacing w:line="360" w:lineRule="auto"/>
        <w:jc w:val="left"/>
        <w:rPr>
          <w:rFonts w:ascii="宋体" w:hAnsi="宋体" w:cs="Microsoft Sans Serif"/>
          <w:kern w:val="0"/>
          <w:sz w:val="21"/>
          <w:szCs w:val="21"/>
        </w:rPr>
      </w:pPr>
      <w:r>
        <w:rPr>
          <w:rFonts w:hint="eastAsia" w:ascii="宋体" w:hAnsi="宋体" w:cs="Microsoft Sans Serif"/>
          <w:kern w:val="0"/>
          <w:sz w:val="21"/>
          <w:szCs w:val="21"/>
        </w:rPr>
        <w:t>（10）发包人未按合同约定接收全部或部分工作的；</w:t>
      </w:r>
    </w:p>
    <w:p>
      <w:pPr>
        <w:pStyle w:val="206"/>
        <w:spacing w:line="360" w:lineRule="auto"/>
        <w:jc w:val="left"/>
        <w:rPr>
          <w:rFonts w:ascii="宋体" w:hAnsi="宋体" w:cs="Microsoft Sans Serif"/>
          <w:kern w:val="0"/>
          <w:sz w:val="21"/>
          <w:szCs w:val="21"/>
          <w:u w:val="single"/>
        </w:rPr>
      </w:pPr>
      <w:r>
        <w:rPr>
          <w:rFonts w:hint="eastAsia" w:ascii="宋体" w:hAnsi="宋体" w:cs="Microsoft Sans Serif"/>
          <w:kern w:val="0"/>
          <w:sz w:val="21"/>
          <w:szCs w:val="21"/>
        </w:rPr>
        <w:t>（11）发包人未按合同约定办理保险的；</w:t>
      </w:r>
    </w:p>
    <w:p>
      <w:pPr>
        <w:snapToGrid w:val="0"/>
        <w:spacing w:line="360" w:lineRule="auto"/>
        <w:ind w:firstLine="420" w:firstLineChars="200"/>
        <w:jc w:val="left"/>
        <w:rPr>
          <w:rFonts w:ascii="宋体" w:hAnsi="宋体" w:cs="Microsoft Sans Serif"/>
          <w:kern w:val="0"/>
          <w:szCs w:val="21"/>
          <w:u w:val="single"/>
        </w:rPr>
      </w:pPr>
      <w:r>
        <w:rPr>
          <w:rFonts w:hint="eastAsia" w:ascii="宋体" w:hAnsi="宋体" w:cs="Microsoft Sans Serif"/>
          <w:kern w:val="0"/>
          <w:szCs w:val="21"/>
          <w:u w:val="single"/>
        </w:rPr>
        <w:t xml:space="preserve">（12）其他：        </w:t>
      </w:r>
      <w:r>
        <w:rPr>
          <w:rFonts w:hint="eastAsia" w:ascii="宋体" w:hAnsi="宋体" w:cs="Microsoft Sans Serif"/>
          <w:kern w:val="0"/>
          <w:szCs w:val="21"/>
        </w:rPr>
        <w:t>。</w:t>
      </w:r>
    </w:p>
    <w:p>
      <w:pPr>
        <w:pStyle w:val="206"/>
        <w:spacing w:line="360" w:lineRule="auto"/>
        <w:rPr>
          <w:rFonts w:ascii="宋体" w:hAnsi="宋体"/>
          <w:sz w:val="21"/>
          <w:szCs w:val="21"/>
        </w:rPr>
      </w:pPr>
      <w:r>
        <w:rPr>
          <w:rFonts w:hint="eastAsia" w:ascii="宋体" w:hAnsi="宋体"/>
          <w:sz w:val="21"/>
          <w:szCs w:val="21"/>
        </w:rPr>
        <w:t>16.1.2发包人违约的责任</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（1）因发包人原因未能及时办理完毕前述许可、批准或备案的违约责任：由发包人承担由此增加的费用和（或）顺延工期，并支付合理利润，具体索赔程序按照第19条〔索赔〕约定执行。</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（3）因发包人原因导致工期延误的违约责任：由发包人承担由此增加的费用和（或）顺延工期，并支付合理利润，具体索赔程序按照第19条〔索赔〕约定执行。</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（4）因发包人原因未能在计划开工日期前7天内下达开工通知的违约责任：由发包人承担由此增加的费用和（或）顺延工期，并支付合理利润，具体索赔程序按照第19条〔索赔〕约定执行。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（5）根据5.3.3项发包人或监理人要求重新检查的，经检查证明工程质量符合合同要求的，由发包人承担由此增加的费用和（或）顺延工期，并支付合理利润，具体索赔程序按照第19条〔索赔〕约定执行。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（6）因发包人原因未按合同约定支付合同价款的违约责任：发包人应向承包人支付违约金，自应当支付之日起28天后开始计算违约金，计算公式：</w:t>
      </w:r>
      <w:r>
        <w:rPr>
          <w:rFonts w:hint="eastAsia" w:ascii="宋体" w:hAnsi="宋体" w:cs="Microsoft Sans Serif"/>
          <w:kern w:val="0"/>
          <w:szCs w:val="21"/>
          <w:u w:val="single"/>
        </w:rPr>
        <w:t>违约金=应付未付金额×当期央行五年期以上基准贷款利率/360天×逾期天数</w:t>
      </w:r>
      <w:r>
        <w:rPr>
          <w:rFonts w:hint="eastAsia" w:ascii="宋体" w:hAnsi="宋体"/>
          <w:szCs w:val="21"/>
          <w:u w:val="single"/>
        </w:rPr>
        <w:t>（自第29天起计算）</w:t>
      </w:r>
      <w:r>
        <w:rPr>
          <w:rFonts w:hint="eastAsia" w:ascii="宋体" w:hAnsi="宋体" w:cs="Microsoft Sans Serif"/>
          <w:kern w:val="0"/>
          <w:szCs w:val="21"/>
          <w:u w:val="single"/>
        </w:rPr>
        <w:t>；逾期天数超过56天的，超过部分天数按上述利率的两倍计算并支付违约金</w:t>
      </w:r>
      <w:r>
        <w:rPr>
          <w:rFonts w:hint="eastAsia" w:ascii="宋体" w:hAnsi="宋体" w:cs="Microsoft Sans Serif"/>
          <w:kern w:val="0"/>
          <w:szCs w:val="21"/>
        </w:rPr>
        <w:t>。</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（7）发包人违反合同约定，自行实施或转由他人实施被取消的合同工作内容的违约责任：由发包人承担由此给承包人造成的实际损失并支付合理利润。</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（9）因发包人原因造成工程质量未达到合同约定标准的，由发包人承担由此增加的费用和（或）延误的工期，并支付合理利润。</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（10）因发包人违反合同约定造成暂停施工的违约责任：由发包人承担由此增加的费用和（或）顺延工期，并支付合理利润，具体索赔程序按照第19条〔索赔〕约定执行。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（11）发包人无正当理由没有在约定期限内发出复工指示，导致承包人无法复工的违约责任：由发包人承担由此增加的费用和（或）顺延工期，并支付合理利润，具体索赔程序按照第19条〔索赔〕约定执行。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kern w:val="0"/>
          <w:szCs w:val="21"/>
          <w:u w:val="single"/>
        </w:rPr>
      </w:pPr>
      <w:r>
        <w:rPr>
          <w:rFonts w:hint="eastAsia" w:ascii="宋体" w:hAnsi="宋体" w:cs="Microsoft Sans Serif"/>
          <w:kern w:val="0"/>
          <w:szCs w:val="21"/>
        </w:rPr>
        <w:t>（12）因发包人原因导致工程无法按期办理竣工验收或竣工结算的违约责任：由发包人承担由此增加的费用和（或）顺延工期，并支付合理利润，具体索赔程序按照第19条〔索赔〕约定执行。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kern w:val="0"/>
          <w:szCs w:val="21"/>
          <w:u w:val="single"/>
        </w:rPr>
      </w:pPr>
      <w:r>
        <w:rPr>
          <w:rFonts w:hint="eastAsia" w:ascii="宋体" w:hAnsi="宋体"/>
          <w:szCs w:val="21"/>
        </w:rPr>
        <w:t>（13）</w:t>
      </w:r>
      <w:r>
        <w:rPr>
          <w:rFonts w:hint="eastAsia" w:ascii="宋体" w:hAnsi="宋体" w:cs="Microsoft Sans Serif"/>
          <w:kern w:val="0"/>
          <w:szCs w:val="21"/>
        </w:rPr>
        <w:t>发包人无正当理由未按约定退还履约担保、低价风险担保、预付款担保或质量保证金的违约责任：发包人应向承包人支付违约金，自应当退还之日起28天后开始计算违约金，</w:t>
      </w:r>
      <w:r>
        <w:rPr>
          <w:rFonts w:hint="eastAsia" w:ascii="宋体" w:hAnsi="宋体" w:cs="Microsoft Sans Serif"/>
          <w:kern w:val="0"/>
          <w:szCs w:val="21"/>
          <w:u w:val="single"/>
        </w:rPr>
        <w:t>计算公式：违约金=应退未退担保金额×当期央行五年期以上基准贷款利率/360天×逾期天数</w:t>
      </w:r>
      <w:r>
        <w:rPr>
          <w:rFonts w:hint="eastAsia" w:ascii="宋体" w:hAnsi="宋体"/>
          <w:szCs w:val="21"/>
          <w:u w:val="single"/>
        </w:rPr>
        <w:t>（自第29天起计算）</w:t>
      </w:r>
      <w:r>
        <w:rPr>
          <w:rFonts w:hint="eastAsia" w:ascii="宋体" w:hAnsi="宋体" w:cs="Microsoft Sans Serif"/>
          <w:kern w:val="0"/>
          <w:szCs w:val="21"/>
        </w:rPr>
        <w:t>。</w:t>
      </w:r>
    </w:p>
    <w:p>
      <w:pPr>
        <w:pStyle w:val="2"/>
        <w:spacing w:after="0" w:line="360" w:lineRule="auto"/>
        <w:ind w:firstLine="420" w:firstLineChars="200"/>
        <w:rPr>
          <w:rFonts w:ascii="宋体" w:hAnsi="宋体" w:cs="Microsoft Sans Serif"/>
          <w:kern w:val="0"/>
          <w:szCs w:val="21"/>
        </w:rPr>
      </w:pPr>
      <w:r>
        <w:rPr>
          <w:rFonts w:hint="eastAsia" w:ascii="宋体" w:hAnsi="宋体" w:cs="Microsoft Sans Serif"/>
          <w:kern w:val="0"/>
          <w:szCs w:val="21"/>
        </w:rPr>
        <w:t>（14）</w:t>
      </w:r>
      <w:r>
        <w:rPr>
          <w:rFonts w:hint="eastAsia" w:ascii="宋体" w:hAnsi="宋体"/>
          <w:szCs w:val="21"/>
        </w:rPr>
        <w:t>发包人不当提取履约担保、低价风险担保、预付款担保或质量保证金的，应及时予以退还，若不当提取超过28天的，应承担违约责任：发包人应向承包人支付违约金，</w:t>
      </w:r>
      <w:r>
        <w:rPr>
          <w:rFonts w:hint="eastAsia" w:ascii="宋体" w:hAnsi="宋体"/>
          <w:szCs w:val="21"/>
          <w:u w:val="single"/>
        </w:rPr>
        <w:t>计算公式：违约金=不当提取的担保金额×当期央行五年期以上基准贷款利率/360天×逾期天数（自第29天起计算）</w:t>
      </w:r>
      <w:r>
        <w:rPr>
          <w:rFonts w:hint="eastAsia" w:ascii="宋体" w:hAnsi="宋体"/>
          <w:szCs w:val="21"/>
        </w:rPr>
        <w:t>。</w:t>
      </w:r>
    </w:p>
    <w:p>
      <w:pPr>
        <w:pStyle w:val="2"/>
        <w:spacing w:after="0" w:line="360" w:lineRule="auto"/>
        <w:ind w:firstLine="420" w:firstLineChars="200"/>
        <w:rPr>
          <w:rFonts w:ascii="宋体" w:hAnsi="宋体"/>
          <w:szCs w:val="21"/>
        </w:rPr>
      </w:pPr>
      <w:r>
        <w:rPr>
          <w:rFonts w:hint="eastAsia" w:ascii="宋体" w:hAnsi="宋体" w:cs="Microsoft Sans Serif"/>
          <w:kern w:val="0"/>
          <w:szCs w:val="21"/>
        </w:rPr>
        <w:t>（15）发包人未按合同约定接收全部或部分工作的违约责任：由发包人承担自应当接收工程之日起的工程照管、成品保护、保管等与工程有关的各项费用。</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（16）由于发包人原因对承包人造成的人员人身伤亡和财产损失的，由发包人负责赔偿，并承担由此增加的费用和（或）延误的工期，并支付合理利润。</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（17）发包人未按合同约定办理保险的违约责任：除按18.6.1项约定执行外，每延迟1天，按</w:t>
      </w:r>
      <w:r>
        <w:rPr>
          <w:rFonts w:hint="eastAsia" w:ascii="宋体" w:hAnsi="宋体" w:cs="Microsoft Sans Serif"/>
          <w:kern w:val="0"/>
          <w:szCs w:val="21"/>
          <w:u w:val="single"/>
        </w:rPr>
        <w:t>500元/天</w:t>
      </w:r>
      <w:r>
        <w:rPr>
          <w:rFonts w:hint="eastAsia" w:ascii="宋体" w:hAnsi="宋体" w:cs="Microsoft Sans Serif"/>
          <w:kern w:val="0"/>
          <w:szCs w:val="21"/>
        </w:rPr>
        <w:t>支付违约金。</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（18）其他：</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pPr>
        <w:autoSpaceDE w:val="0"/>
        <w:autoSpaceDN w:val="0"/>
        <w:adjustRightIn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pPr>
        <w:spacing w:line="360" w:lineRule="auto"/>
        <w:ind w:firstLine="420" w:firstLineChars="200"/>
        <w:rPr>
          <w:rFonts w:ascii="宋体" w:hAnsi="宋体"/>
          <w:szCs w:val="21"/>
        </w:rPr>
      </w:pPr>
      <w:r>
        <w:rPr>
          <w:rFonts w:hint="eastAsia" w:ascii="宋体" w:hAnsi="宋体"/>
          <w:szCs w:val="21"/>
        </w:rPr>
        <w:t>16.1.3 因发包人违约解除合同</w:t>
      </w:r>
    </w:p>
    <w:p>
      <w:pPr>
        <w:autoSpaceDE w:val="0"/>
        <w:autoSpaceDN w:val="0"/>
        <w:adjustRightIn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因发包人违约并致使合同目的不能实现的，承包人有权解除合同：</w:t>
      </w:r>
    </w:p>
    <w:p>
      <w:pPr>
        <w:autoSpaceDE w:val="0"/>
        <w:autoSpaceDN w:val="0"/>
        <w:adjustRightIn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（1）因发包人原因延迟支付合同价款超过180天的；</w:t>
      </w:r>
    </w:p>
    <w:p>
      <w:pPr>
        <w:autoSpaceDE w:val="0"/>
        <w:autoSpaceDN w:val="0"/>
        <w:adjustRightIn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（2）因发包人原因导致工期延误超过90天的；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（3）因发包人第16.1.2（5）违约情形导致暂停施工满56天，且发包人仍未纠正其违约行为的；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（4）其他未履行合同项下的义务构成对合同的实质性违约，并且在收到承包人要求说明其违约并予以补救的通知后56天内仍未补救该实质性违约的。</w:t>
      </w:r>
    </w:p>
    <w:p>
      <w:pPr>
        <w:spacing w:line="360" w:lineRule="auto"/>
        <w:ind w:firstLine="420" w:firstLineChars="200"/>
        <w:rPr>
          <w:rFonts w:ascii="宋体" w:hAnsi="宋体"/>
          <w:szCs w:val="21"/>
        </w:rPr>
      </w:pPr>
      <w:r>
        <w:rPr>
          <w:rFonts w:hint="eastAsia" w:ascii="宋体" w:hAnsi="宋体"/>
          <w:szCs w:val="21"/>
        </w:rPr>
        <w:t>16.1.4 因发包人违约解除合同后的付款</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承包人按照本款约定解除合同的，发包人应在解除合同后28天内支付下列款项，并解除履约担保、低价风险担保、预付款担保：</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（1）合同解除前所完成工作的价款；</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（2）承包人为工程施工订购并已付款的材料、工程设备和其他物品的价款；</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（3）承包人撤离施工现场以及遣散承包人人员的款项；</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（4）按照合同约定在合同解除前应支付的违约金；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（5）按照合同约定应当支付给承包人的其他款项；</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（6）按照合同约定应退还的质量保证金；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（7）因解除合同给承包人造成的损失。</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合同当事人未能就解除合同后的结清达成一致的，按照第20条〔争议解决〕的约定处理。</w:t>
      </w:r>
    </w:p>
    <w:p>
      <w:pPr>
        <w:snapToGrid w:val="0"/>
        <w:spacing w:line="360" w:lineRule="auto"/>
        <w:ind w:firstLine="420" w:firstLineChars="200"/>
        <w:jc w:val="left"/>
        <w:rPr>
          <w:rFonts w:ascii="宋体" w:hAnsi="宋体" w:cs="Microsoft Sans Serif"/>
          <w:kern w:val="0"/>
          <w:szCs w:val="21"/>
          <w:u w:val="single"/>
        </w:rPr>
      </w:pPr>
      <w:r>
        <w:rPr>
          <w:rFonts w:hint="eastAsia" w:ascii="宋体" w:hAnsi="宋体" w:cs="Microsoft Sans Serif"/>
          <w:kern w:val="0"/>
          <w:szCs w:val="21"/>
        </w:rPr>
        <w:t>承包人应妥善做好已完工程和与工程有关的已购材料、工程设备的保护和移交工作，并将施工设备和人员撤出施工现场，发包人应为承包人撤出提供必要条件。</w:t>
      </w:r>
    </w:p>
    <w:p>
      <w:pPr>
        <w:pStyle w:val="8"/>
        <w:spacing w:before="0" w:after="0" w:line="360" w:lineRule="auto"/>
        <w:ind w:firstLine="422" w:firstLineChars="200"/>
        <w:rPr>
          <w:sz w:val="21"/>
          <w:szCs w:val="21"/>
        </w:rPr>
      </w:pPr>
      <w:bookmarkStart w:id="1157" w:name="_Toc532377403"/>
      <w:r>
        <w:rPr>
          <w:rFonts w:hint="eastAsia"/>
          <w:sz w:val="21"/>
          <w:szCs w:val="21"/>
        </w:rPr>
        <w:t>16.2 承包人违约</w:t>
      </w:r>
      <w:bookmarkEnd w:id="1157"/>
    </w:p>
    <w:p>
      <w:pPr>
        <w:snapToGrid w:val="0"/>
        <w:spacing w:line="360" w:lineRule="auto"/>
        <w:ind w:firstLine="420" w:firstLineChars="200"/>
        <w:jc w:val="left"/>
        <w:rPr>
          <w:rFonts w:ascii="宋体" w:hAnsi="宋体" w:cs="Microsoft Sans Serif"/>
          <w:kern w:val="0"/>
          <w:szCs w:val="21"/>
        </w:rPr>
      </w:pPr>
      <w:bookmarkStart w:id="1158" w:name="_Hlk524380579"/>
      <w:r>
        <w:rPr>
          <w:rFonts w:hint="eastAsia" w:ascii="宋体" w:hAnsi="宋体" w:cs="Microsoft Sans Serif"/>
          <w:kern w:val="0"/>
          <w:szCs w:val="21"/>
        </w:rPr>
        <w:t>16.2.1 承包人违约的情形</w:t>
      </w:r>
    </w:p>
    <w:p>
      <w:pPr>
        <w:snapToGrid w:val="0"/>
        <w:spacing w:line="360" w:lineRule="auto"/>
        <w:ind w:firstLine="420" w:firstLineChars="200"/>
        <w:jc w:val="left"/>
        <w:rPr>
          <w:rFonts w:ascii="宋体" w:hAnsi="宋体" w:cs="Microsoft Sans Serif"/>
          <w:kern w:val="0"/>
          <w:szCs w:val="21"/>
          <w:u w:val="single"/>
        </w:rPr>
      </w:pPr>
      <w:r>
        <w:rPr>
          <w:rFonts w:hint="eastAsia" w:ascii="宋体" w:hAnsi="宋体" w:cs="Microsoft Sans Serif"/>
          <w:kern w:val="0"/>
          <w:szCs w:val="21"/>
        </w:rPr>
        <w:t>除通用合同条款约定外，承包人违约的其他情形：</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（1）承包人未按合同约定提交履约担保或质量保证金的；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（2）承包人未能按期开工的；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（3）承包人未按投标文件或监理人的要求及时配备称职的主要管理人员，或承包人未按经审定的施工组织设计配备或更换关键施工设备的；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（4）承包人有安全问题或有违反安全管理规章制度情况的；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（5）承包人在缺陷责任期及保修期内，未能在合理期限对工程缺陷进行修复，或拒绝按发包人要求进行修复的；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（6）承包人拖欠其工人或所雇人员工资或报酬，导致其工人或所雇人员向有关部门投诉、控告、检举或以聚集等方式讨要工资或报酬的；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（7）承包人不配合发包人、监理人及发包人委托的工程造价咨询服务单位结算审核或承包人其他原因导致未按期完成工程竣工结算的；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（8）承包人违反合同约定进行转包或违法分包的；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（9）承包人未按合同约定移交全部或部分工作的；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（10）承包人未按合同约定购买保险的；</w:t>
      </w:r>
    </w:p>
    <w:p>
      <w:pPr>
        <w:snapToGrid w:val="0"/>
        <w:spacing w:line="360" w:lineRule="auto"/>
        <w:ind w:firstLine="420" w:firstLineChars="200"/>
        <w:jc w:val="left"/>
        <w:rPr>
          <w:rFonts w:ascii="宋体" w:hAnsi="宋体"/>
          <w:szCs w:val="21"/>
        </w:rPr>
      </w:pPr>
      <w:r>
        <w:rPr>
          <w:rFonts w:hint="eastAsia" w:ascii="宋体" w:hAnsi="宋体" w:cs="Microsoft Sans Serif"/>
          <w:kern w:val="0"/>
          <w:szCs w:val="21"/>
        </w:rPr>
        <w:t>（11）项目经理若有以下情形，属于承包人违约：</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1）项目经理不按承诺到岗的；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2）每月在施工现场的天数少于约定天数的；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3）承包人未提交项目经理劳动合同和社会保险证明的；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4）未经批准，擅自离开施工现场（超过约定时间）的；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5）未经批准，擅自变更项目经理的；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6）按照渝建发〔2015〕35号文的要求，施工期间，项目经理因在一个记分周期内累计记分达到12分，被建设行政主管部门依法责令停止执业的；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7）发包人有正当理由认为项目经理不称职/不履职，且承包人在约定时间内不予更换的；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8）其他双方约定的情形。</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（12）技术负责人若有以下情形，属于承包人违约：</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1）每月在施工现场的天数少于约定天数的；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2）承包人未提交项目经理劳动合同和社会保险证明的；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3）未经批准，擅自离开施工现场（超过约定时间）的；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4）未经批准，擅自变更技术负责人的；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5）发包人有正当理由认为技术负责人不称职/不履职，且承包人在约定时间内不予更换的；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6）其他双方约定的情形。</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（13）主要施工管理人员若有以下情形，属于承包人违约：</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1）承包人未提交项目经理劳动合同和社会保险证明的；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2）未经批准，擅自离开施工现场（超过约定时间）的；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3）未经批准，擅自变更主要施工管理人员的；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4）发包人有正当理由认为主要施工管理人员不称职/不履职，且承包人在约定时间内不予更换的；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5）其他双方约定的情形。</w:t>
      </w:r>
    </w:p>
    <w:bookmarkEnd w:id="1158"/>
    <w:p>
      <w:pPr>
        <w:adjustRightInd w:val="0"/>
        <w:snapToGrid w:val="0"/>
        <w:spacing w:line="360" w:lineRule="auto"/>
        <w:ind w:firstLine="420" w:firstLineChars="200"/>
        <w:rPr>
          <w:rFonts w:ascii="宋体" w:hAnsi="宋体" w:cs="Microsoft Sans Serif"/>
          <w:kern w:val="0"/>
          <w:szCs w:val="21"/>
        </w:rPr>
      </w:pPr>
      <w:r>
        <w:rPr>
          <w:rFonts w:hint="eastAsia" w:ascii="宋体" w:hAnsi="宋体" w:cs="Microsoft Sans Serif"/>
          <w:kern w:val="0"/>
          <w:szCs w:val="21"/>
        </w:rPr>
        <w:t>（14）发包人在合同签订前对承包人已标价工程量清单清标时发现承包人的工程量清单综合单价报价超过招标时给出的工程量清单综合单价最高限价，结算时拒不接受发包人以发出的工程量清单综合单价最高限价为基础，按照承包人的中标总报价与本工程的总价最高限价的下浮比例进行同比例下调的。</w:t>
      </w:r>
    </w:p>
    <w:p>
      <w:pPr>
        <w:adjustRightInd w:val="0"/>
        <w:snapToGrid w:val="0"/>
        <w:spacing w:line="360" w:lineRule="auto"/>
        <w:ind w:firstLine="420" w:firstLineChars="200"/>
        <w:rPr>
          <w:rFonts w:ascii="宋体" w:hAnsi="宋体" w:cs="Microsoft Sans Serif"/>
          <w:kern w:val="0"/>
          <w:szCs w:val="21"/>
        </w:rPr>
      </w:pPr>
      <w:r>
        <w:rPr>
          <w:rFonts w:hint="eastAsia" w:ascii="宋体" w:hAnsi="宋体" w:cs="Microsoft Sans Serif"/>
          <w:kern w:val="0"/>
          <w:szCs w:val="21"/>
        </w:rPr>
        <w:t>16.2.2 承包人违约的责任</w:t>
      </w:r>
    </w:p>
    <w:p>
      <w:pPr>
        <w:adjustRightInd w:val="0"/>
        <w:snapToGrid w:val="0"/>
        <w:spacing w:line="360" w:lineRule="auto"/>
        <w:ind w:firstLine="420" w:firstLineChars="200"/>
        <w:rPr>
          <w:rFonts w:ascii="宋体" w:hAnsi="宋体" w:cs="Microsoft Sans Serif"/>
          <w:kern w:val="0"/>
          <w:szCs w:val="21"/>
        </w:rPr>
      </w:pPr>
      <w:r>
        <w:rPr>
          <w:rFonts w:hint="eastAsia" w:ascii="宋体" w:hAnsi="宋体" w:cs="Microsoft Sans Serif"/>
          <w:kern w:val="0"/>
          <w:szCs w:val="21"/>
        </w:rPr>
        <w:t>承包人违约责任的承担方式和计算方法：</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（1）承包人未按合同约定提交履约担保、质量保证金的违约责任：承包人应支付违约金，</w:t>
      </w:r>
      <w:r>
        <w:rPr>
          <w:rFonts w:hint="eastAsia" w:ascii="宋体" w:hAnsi="宋体" w:cs="Microsoft Sans Serif"/>
          <w:szCs w:val="21"/>
        </w:rPr>
        <w:t>违约金的计算方法：</w:t>
      </w:r>
      <w:r>
        <w:rPr>
          <w:rFonts w:hint="eastAsia" w:ascii="宋体" w:hAnsi="宋体" w:cs="Microsoft Sans Serif"/>
          <w:kern w:val="0"/>
          <w:szCs w:val="21"/>
        </w:rPr>
        <w:t>每延误1天，承包人按</w:t>
      </w:r>
      <w:r>
        <w:rPr>
          <w:rFonts w:hint="eastAsia" w:ascii="宋体" w:hAnsi="宋体" w:cs="Microsoft Sans Serif"/>
          <w:kern w:val="0"/>
          <w:szCs w:val="21"/>
          <w:u w:val="single"/>
        </w:rPr>
        <w:t>5000元/天</w:t>
      </w:r>
      <w:r>
        <w:rPr>
          <w:rFonts w:hint="eastAsia" w:ascii="宋体" w:hAnsi="宋体" w:cs="Microsoft Sans Serif"/>
          <w:kern w:val="0"/>
          <w:szCs w:val="21"/>
        </w:rPr>
        <w:t>计算违约金，累计违约金上限：</w:t>
      </w:r>
      <w:r>
        <w:rPr>
          <w:rFonts w:hint="eastAsia" w:ascii="宋体" w:hAnsi="宋体" w:cs="Microsoft Sans Serif"/>
          <w:kern w:val="0"/>
          <w:szCs w:val="21"/>
          <w:u w:val="single"/>
        </w:rPr>
        <w:t>不超过签约合同价的3%</w:t>
      </w:r>
      <w:r>
        <w:rPr>
          <w:rFonts w:hint="eastAsia" w:ascii="宋体" w:hAnsi="宋体" w:cs="Microsoft Sans Serif"/>
          <w:kern w:val="0"/>
          <w:szCs w:val="21"/>
          <w:lang w:val="zh-CN"/>
        </w:rPr>
        <w:t>。</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（2）承包人违反合同约定进行转包或违法分包的违约责任：按照违反合同约定进行转包和（或）违法分包相应转包和（或）分包合同的合同金额的</w:t>
      </w:r>
      <w:r>
        <w:rPr>
          <w:rFonts w:hint="eastAsia" w:ascii="宋体" w:hAnsi="宋体" w:cs="Microsoft Sans Serif"/>
          <w:kern w:val="0"/>
          <w:szCs w:val="21"/>
          <w:u w:val="single"/>
        </w:rPr>
        <w:t xml:space="preserve"> 10%</w:t>
      </w:r>
      <w:r>
        <w:rPr>
          <w:rFonts w:hint="eastAsia" w:ascii="宋体" w:hAnsi="宋体" w:cs="Microsoft Sans Serif"/>
          <w:kern w:val="0"/>
          <w:szCs w:val="21"/>
        </w:rPr>
        <w:t>支付违约金，违法转/分包商应在7天内撤离出场。</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（3）承包人违反合同约定采购和使用不合格的材料和工程设备的违约责任：按照违反合同约定采购和使用不合格的材料和（或）工程设备相应合同金额的</w:t>
      </w:r>
      <w:r>
        <w:rPr>
          <w:rFonts w:hint="eastAsia" w:ascii="宋体" w:hAnsi="宋体" w:cs="Microsoft Sans Serif"/>
          <w:kern w:val="0"/>
          <w:szCs w:val="21"/>
          <w:u w:val="single"/>
        </w:rPr>
        <w:t>10%</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cs="Microsoft Sans Serif"/>
          <w:kern w:val="0"/>
          <w:szCs w:val="21"/>
          <w:u w:val="single"/>
        </w:rPr>
        <w:t>10%</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cs="Microsoft Sans Serif"/>
          <w:kern w:val="0"/>
          <w:szCs w:val="21"/>
          <w:u w:val="single"/>
        </w:rPr>
        <w:t>5%</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（6）因承包人原因造成工期延误的违约承担方式和计算方法：由承包人承担由此增加的费用，</w:t>
      </w:r>
      <w:r>
        <w:rPr>
          <w:rFonts w:hint="eastAsia" w:ascii="宋体" w:hAnsi="宋体" w:cs="Microsoft Sans Serif"/>
          <w:szCs w:val="21"/>
        </w:rPr>
        <w:t>由此导致工期延误的，工期不予顺延；逾期竣工违约金的计算方法：</w:t>
      </w:r>
      <w:r>
        <w:rPr>
          <w:rFonts w:hint="eastAsia" w:ascii="宋体" w:hAnsi="宋体" w:cs="Microsoft Sans Serif"/>
          <w:kern w:val="0"/>
          <w:szCs w:val="21"/>
        </w:rPr>
        <w:t>每延误1天，承包人按</w:t>
      </w:r>
      <w:r>
        <w:rPr>
          <w:rFonts w:hint="eastAsia" w:ascii="宋体" w:hAnsi="宋体" w:cs="Microsoft Sans Serif"/>
          <w:kern w:val="0"/>
          <w:szCs w:val="21"/>
          <w:u w:val="single"/>
        </w:rPr>
        <w:t>5000元/天</w:t>
      </w:r>
      <w:r>
        <w:rPr>
          <w:rFonts w:hint="eastAsia" w:ascii="宋体" w:hAnsi="宋体" w:cs="Microsoft Sans Serif"/>
          <w:kern w:val="0"/>
          <w:szCs w:val="21"/>
        </w:rPr>
        <w:t>计算逾期竣工违约金，累计违约金上限：不超过签约合同价的3%</w:t>
      </w:r>
      <w:r>
        <w:rPr>
          <w:rFonts w:hint="eastAsia" w:ascii="宋体" w:hAnsi="宋体" w:cs="Microsoft Sans Serif"/>
          <w:kern w:val="0"/>
          <w:szCs w:val="21"/>
          <w:lang w:val="zh-CN"/>
        </w:rPr>
        <w:t>；</w:t>
      </w:r>
      <w:r>
        <w:rPr>
          <w:rFonts w:hint="eastAsia" w:ascii="宋体" w:hAnsi="宋体" w:cs="Microsoft Sans Serif"/>
          <w:kern w:val="0"/>
          <w:szCs w:val="21"/>
        </w:rPr>
        <w:t>承包人支付逾期竣工违约金后，不免除承包人继续完成工程及修补缺陷的义务。</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（7）承包人在缺陷责任期及保修期内，未能在合理期限对工程缺陷进行修复，或拒绝按发包人要求进行修复的违约责任：按照发包人修复缺陷费用的</w:t>
      </w:r>
      <w:r>
        <w:rPr>
          <w:rFonts w:hint="eastAsia" w:ascii="宋体" w:hAnsi="宋体" w:cs="Microsoft Sans Serif"/>
          <w:kern w:val="0"/>
          <w:szCs w:val="21"/>
          <w:u w:val="single"/>
        </w:rPr>
        <w:t>2%</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（8）承包人明确表示或者以其行为表明不履行合同主要义务的违约责任：按签约合同价的</w:t>
      </w:r>
      <w:r>
        <w:rPr>
          <w:rFonts w:hint="eastAsia" w:ascii="宋体" w:hAnsi="宋体" w:cs="Microsoft Sans Serif"/>
          <w:kern w:val="0"/>
          <w:szCs w:val="21"/>
          <w:u w:val="single"/>
        </w:rPr>
        <w:t>10%</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（9）承包人未能按照合同约定履行其他义务的违约责任：按</w:t>
      </w:r>
      <w:r>
        <w:rPr>
          <w:rFonts w:hint="eastAsia" w:ascii="宋体" w:hAnsi="宋体" w:cs="Microsoft Sans Serif"/>
          <w:kern w:val="0"/>
          <w:szCs w:val="21"/>
          <w:u w:val="single"/>
        </w:rPr>
        <w:t>2000元/次</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（10）承包人未能按期开工的违约责任：按合同价</w:t>
      </w:r>
      <w:r>
        <w:rPr>
          <w:rFonts w:hint="eastAsia" w:ascii="宋体" w:hAnsi="宋体" w:cs="Microsoft Sans Serif"/>
          <w:kern w:val="0"/>
          <w:szCs w:val="21"/>
          <w:u w:val="single"/>
        </w:rPr>
        <w:t>0.2‰/天</w:t>
      </w:r>
      <w:r>
        <w:rPr>
          <w:rFonts w:hint="eastAsia" w:ascii="宋体" w:hAnsi="宋体" w:cs="Microsoft Sans Serif"/>
          <w:kern w:val="0"/>
          <w:szCs w:val="21"/>
        </w:rPr>
        <w:t>支付违约金，本项违约金累计限额为签约合同价的</w:t>
      </w:r>
      <w:r>
        <w:rPr>
          <w:rFonts w:hint="eastAsia" w:ascii="宋体" w:hAnsi="宋体" w:cs="Microsoft Sans Serif"/>
          <w:kern w:val="0"/>
          <w:szCs w:val="21"/>
          <w:u w:val="single"/>
        </w:rPr>
        <w:t xml:space="preserve"> 1 %</w:t>
      </w:r>
      <w:r>
        <w:rPr>
          <w:rFonts w:hint="eastAsia" w:ascii="宋体" w:hAnsi="宋体" w:cs="Microsoft Sans Serif"/>
          <w:kern w:val="0"/>
          <w:szCs w:val="21"/>
        </w:rPr>
        <w:t>。</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（11）承包人未按经审定的施工组织设计配备或更换关键施工设备的违约责任：按</w:t>
      </w:r>
      <w:r>
        <w:rPr>
          <w:rFonts w:hint="eastAsia" w:ascii="宋体" w:hAnsi="宋体" w:cs="Microsoft Sans Serif"/>
          <w:kern w:val="0"/>
          <w:szCs w:val="21"/>
          <w:u w:val="single"/>
        </w:rPr>
        <w:t>20000元/台·次</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（12）承包人有安全问题或有违反安全管理规章制度情况的违约责任：根据具体情节，按签约合同价的</w:t>
      </w:r>
      <w:r>
        <w:rPr>
          <w:rFonts w:hint="eastAsia" w:ascii="宋体" w:hAnsi="宋体" w:cs="Microsoft Sans Serif"/>
          <w:kern w:val="0"/>
          <w:szCs w:val="21"/>
          <w:u w:val="single"/>
        </w:rPr>
        <w:t>4‰/次</w:t>
      </w:r>
      <w:r>
        <w:rPr>
          <w:rFonts w:hint="eastAsia" w:ascii="宋体" w:hAnsi="宋体" w:cs="Microsoft Sans Serif"/>
          <w:kern w:val="0"/>
          <w:szCs w:val="21"/>
        </w:rPr>
        <w:t>支付违约金（累计不超过签约合同价的1%，详见附件9安全管理协议）。</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cs="Microsoft Sans Serif"/>
          <w:kern w:val="0"/>
          <w:szCs w:val="21"/>
          <w:u w:val="single"/>
        </w:rPr>
        <w:t>200000元/次</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（14）承包人不配合发包人、监理人及发包人委托的工程造价咨询服务单位结算审核的违约责任：根据具体情节，按</w:t>
      </w:r>
      <w:r>
        <w:rPr>
          <w:rFonts w:hint="eastAsia" w:ascii="宋体" w:hAnsi="宋体" w:cs="Microsoft Sans Serif"/>
          <w:kern w:val="0"/>
          <w:szCs w:val="21"/>
          <w:u w:val="single"/>
        </w:rPr>
        <w:t>100000元/次</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（15）承包人未按合同约定移交全部和部分工程的违约责任：由承包人承担工程照管、成品保护、保管等与工程有关的各种费用，并按结算金额或违约部分结算金额的</w:t>
      </w:r>
      <w:r>
        <w:rPr>
          <w:rFonts w:hint="eastAsia" w:ascii="宋体" w:hAnsi="宋体" w:cs="Microsoft Sans Serif"/>
          <w:kern w:val="0"/>
          <w:szCs w:val="21"/>
          <w:u w:val="single"/>
        </w:rPr>
        <w:t>1‰</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（16）承包人未按合同约定购买保险的违约责任：除按18.6.2项约定执行外，每延迟1天，按</w:t>
      </w:r>
      <w:r>
        <w:rPr>
          <w:rFonts w:hint="eastAsia" w:ascii="宋体" w:hAnsi="宋体" w:cs="Microsoft Sans Serif"/>
          <w:szCs w:val="21"/>
          <w:u w:val="single"/>
        </w:rPr>
        <w:t>500元/天</w:t>
      </w:r>
      <w:r>
        <w:rPr>
          <w:rFonts w:hint="eastAsia" w:ascii="宋体" w:hAnsi="宋体" w:cs="Microsoft Sans Serif"/>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（17）发生第16.2.1项（11）目、16.2.1项（12）目、16.2.1项（13）目违约情形的违约责任：除承担由此增加的费用和工期延误的责任，承包人应向发包人支付违约金：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1）项目经理违约承担方式和计算方法：对于第16.2.1项（11）目的情形，项目经理不按承诺到岗的（</w:t>
      </w:r>
      <w:r>
        <w:rPr>
          <w:rFonts w:ascii="宋体" w:hAnsi="宋体" w:cs="Microsoft Sans Serif"/>
          <w:kern w:val="0"/>
          <w:szCs w:val="21"/>
        </w:rPr>
        <w:t>3.2.3项约定的情形除外</w:t>
      </w:r>
      <w:r>
        <w:rPr>
          <w:rFonts w:hint="eastAsia" w:ascii="宋体" w:hAnsi="宋体" w:cs="Microsoft Sans Serif"/>
          <w:kern w:val="0"/>
          <w:szCs w:val="21"/>
        </w:rPr>
        <w:t>），按</w:t>
      </w:r>
      <w:r>
        <w:rPr>
          <w:rFonts w:hint="eastAsia" w:ascii="宋体" w:hAnsi="宋体" w:cs="Microsoft Sans Serif"/>
          <w:kern w:val="0"/>
          <w:szCs w:val="21"/>
          <w:u w:val="single"/>
        </w:rPr>
        <w:t xml:space="preserve">5000元/天 </w:t>
      </w:r>
      <w:r>
        <w:rPr>
          <w:rFonts w:hint="eastAsia" w:ascii="宋体" w:hAnsi="宋体" w:cs="Microsoft Sans Serif"/>
          <w:kern w:val="0"/>
          <w:szCs w:val="21"/>
        </w:rPr>
        <w:t>支付违约金；擅自更换项目经理的，按签约合同价的</w:t>
      </w:r>
      <w:r>
        <w:rPr>
          <w:rFonts w:hint="eastAsia" w:ascii="宋体" w:hAnsi="宋体" w:cs="Microsoft Sans Serif"/>
          <w:kern w:val="0"/>
          <w:szCs w:val="21"/>
          <w:u w:val="single"/>
        </w:rPr>
        <w:t>3%/人·次</w:t>
      </w:r>
      <w:r>
        <w:rPr>
          <w:rFonts w:hint="eastAsia" w:ascii="宋体" w:hAnsi="宋体" w:cs="Microsoft Sans Serif"/>
          <w:kern w:val="0"/>
          <w:szCs w:val="21"/>
        </w:rPr>
        <w:t>支付违约金，每次不低于</w:t>
      </w:r>
      <w:r>
        <w:rPr>
          <w:rFonts w:hint="eastAsia" w:ascii="宋体" w:hAnsi="宋体" w:cs="Microsoft Sans Serif"/>
          <w:kern w:val="0"/>
          <w:szCs w:val="21"/>
          <w:u w:val="single"/>
        </w:rPr>
        <w:t>20万</w:t>
      </w:r>
      <w:r>
        <w:rPr>
          <w:rFonts w:hint="eastAsia" w:ascii="宋体" w:hAnsi="宋体" w:cs="Microsoft Sans Serif"/>
          <w:kern w:val="0"/>
          <w:szCs w:val="21"/>
        </w:rPr>
        <w:t>，累计不超过</w:t>
      </w:r>
      <w:r>
        <w:rPr>
          <w:rFonts w:hint="eastAsia" w:ascii="宋体" w:hAnsi="宋体" w:cs="Microsoft Sans Serif"/>
          <w:kern w:val="0"/>
          <w:szCs w:val="21"/>
          <w:u w:val="single"/>
        </w:rPr>
        <w:t>200万</w:t>
      </w:r>
      <w:r>
        <w:rPr>
          <w:rFonts w:hint="eastAsia" w:ascii="宋体" w:hAnsi="宋体" w:cs="Microsoft Sans Serif"/>
          <w:kern w:val="0"/>
          <w:szCs w:val="21"/>
        </w:rPr>
        <w:t>；项目经理被责令停止执业的，按签约合同价的</w:t>
      </w:r>
      <w:r>
        <w:rPr>
          <w:rFonts w:hint="eastAsia" w:ascii="宋体" w:hAnsi="宋体" w:cs="Microsoft Sans Serif"/>
          <w:kern w:val="0"/>
          <w:szCs w:val="21"/>
          <w:u w:val="single"/>
        </w:rPr>
        <w:t>3%/人·次</w:t>
      </w:r>
      <w:r>
        <w:rPr>
          <w:rFonts w:hint="eastAsia" w:ascii="宋体" w:hAnsi="宋体" w:cs="Microsoft Sans Serif"/>
          <w:kern w:val="0"/>
          <w:szCs w:val="21"/>
        </w:rPr>
        <w:t>支付违约金，每次不低于</w:t>
      </w:r>
      <w:r>
        <w:rPr>
          <w:rFonts w:hint="eastAsia" w:ascii="宋体" w:hAnsi="宋体" w:cs="Microsoft Sans Serif"/>
          <w:kern w:val="0"/>
          <w:szCs w:val="21"/>
          <w:u w:val="single"/>
        </w:rPr>
        <w:t>20万</w:t>
      </w:r>
      <w:r>
        <w:rPr>
          <w:rFonts w:hint="eastAsia" w:ascii="宋体" w:hAnsi="宋体" w:cs="Microsoft Sans Serif"/>
          <w:kern w:val="0"/>
          <w:szCs w:val="21"/>
        </w:rPr>
        <w:t>，累计不超过</w:t>
      </w:r>
      <w:r>
        <w:rPr>
          <w:rFonts w:hint="eastAsia" w:ascii="宋体" w:hAnsi="宋体" w:cs="Microsoft Sans Serif"/>
          <w:kern w:val="0"/>
          <w:szCs w:val="21"/>
          <w:u w:val="single"/>
        </w:rPr>
        <w:t>200万</w:t>
      </w:r>
      <w:r>
        <w:rPr>
          <w:rFonts w:hint="eastAsia" w:ascii="宋体" w:hAnsi="宋体" w:cs="Microsoft Sans Serif"/>
          <w:kern w:val="0"/>
          <w:szCs w:val="21"/>
        </w:rPr>
        <w:t>。</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2）主要技术负责人违约承担方式和计算方法：对于第16.2.1项（12）目的六种情形，主要技术负责人不按承诺到岗的，按</w:t>
      </w:r>
      <w:r>
        <w:rPr>
          <w:rFonts w:hint="eastAsia" w:ascii="宋体" w:hAnsi="宋体" w:cs="Microsoft Sans Serif"/>
          <w:kern w:val="0"/>
          <w:szCs w:val="21"/>
          <w:u w:val="single"/>
        </w:rPr>
        <w:t>2000元/天</w:t>
      </w:r>
      <w:r>
        <w:rPr>
          <w:rFonts w:hint="eastAsia" w:ascii="宋体" w:hAnsi="宋体" w:cs="Microsoft Sans Serif"/>
          <w:kern w:val="0"/>
          <w:szCs w:val="21"/>
        </w:rPr>
        <w:t>计算违约金；擅自更换主要技术负责人的，按签约合同价的</w:t>
      </w:r>
      <w:r>
        <w:rPr>
          <w:rFonts w:hint="eastAsia" w:ascii="宋体" w:hAnsi="宋体" w:cs="Microsoft Sans Serif"/>
          <w:kern w:val="0"/>
          <w:szCs w:val="21"/>
          <w:u w:val="single"/>
        </w:rPr>
        <w:t>2%/人·次</w:t>
      </w:r>
      <w:r>
        <w:rPr>
          <w:rFonts w:hint="eastAsia" w:ascii="宋体" w:hAnsi="宋体" w:cs="Microsoft Sans Serif"/>
          <w:kern w:val="0"/>
          <w:szCs w:val="21"/>
        </w:rPr>
        <w:t>支付违约金，每次不低于</w:t>
      </w:r>
      <w:r>
        <w:rPr>
          <w:rFonts w:hint="eastAsia" w:ascii="宋体" w:hAnsi="宋体" w:cs="Microsoft Sans Serif"/>
          <w:kern w:val="0"/>
          <w:szCs w:val="21"/>
          <w:u w:val="single"/>
        </w:rPr>
        <w:t>10万</w:t>
      </w:r>
      <w:r>
        <w:rPr>
          <w:rFonts w:hint="eastAsia" w:ascii="宋体" w:hAnsi="宋体" w:cs="Microsoft Sans Serif"/>
          <w:kern w:val="0"/>
          <w:szCs w:val="21"/>
        </w:rPr>
        <w:t>，累计不超过</w:t>
      </w:r>
      <w:r>
        <w:rPr>
          <w:rFonts w:hint="eastAsia" w:ascii="宋体" w:hAnsi="宋体" w:cs="Microsoft Sans Serif"/>
          <w:kern w:val="0"/>
          <w:szCs w:val="21"/>
          <w:u w:val="single"/>
        </w:rPr>
        <w:t>100万</w:t>
      </w:r>
      <w:r>
        <w:rPr>
          <w:rFonts w:hint="eastAsia" w:ascii="宋体" w:hAnsi="宋体" w:cs="Microsoft Sans Serif"/>
          <w:kern w:val="0"/>
          <w:szCs w:val="21"/>
        </w:rPr>
        <w:t>。</w:t>
      </w:r>
    </w:p>
    <w:p>
      <w:pPr>
        <w:snapToGrid w:val="0"/>
        <w:spacing w:line="360" w:lineRule="auto"/>
        <w:ind w:firstLine="420" w:firstLineChars="200"/>
        <w:jc w:val="left"/>
        <w:rPr>
          <w:rFonts w:hint="eastAsia" w:ascii="宋体" w:hAnsi="宋体" w:eastAsia="宋体"/>
          <w:szCs w:val="21"/>
          <w:lang w:eastAsia="zh-CN"/>
        </w:rPr>
      </w:pPr>
      <w:r>
        <w:rPr>
          <w:rFonts w:hint="eastAsia" w:ascii="宋体" w:hAnsi="宋体" w:cs="Microsoft Sans Serif"/>
          <w:kern w:val="0"/>
          <w:szCs w:val="21"/>
        </w:rPr>
        <w:t>3）主要施工管理人违约承担方式和计算方法：对于第16.2.1项（13）目的五种情形，</w:t>
      </w:r>
      <w:r>
        <w:rPr>
          <w:rFonts w:hint="eastAsia"/>
        </w:rPr>
        <w:t>主要施工管理人</w:t>
      </w:r>
      <w:r>
        <w:rPr>
          <w:rFonts w:hint="eastAsia" w:ascii="宋体" w:hAnsi="宋体" w:cs="Microsoft Sans Serif"/>
          <w:kern w:val="0"/>
          <w:szCs w:val="21"/>
        </w:rPr>
        <w:t>不按承诺到岗的，按</w:t>
      </w:r>
      <w:r>
        <w:rPr>
          <w:rFonts w:hint="eastAsia" w:ascii="宋体" w:hAnsi="宋体" w:cs="Microsoft Sans Serif"/>
          <w:kern w:val="0"/>
          <w:szCs w:val="21"/>
          <w:u w:val="single"/>
        </w:rPr>
        <w:t>1000元/天</w:t>
      </w:r>
      <w:r>
        <w:rPr>
          <w:rFonts w:hint="eastAsia" w:ascii="宋体" w:hAnsi="宋体" w:cs="Microsoft Sans Serif"/>
          <w:kern w:val="0"/>
          <w:szCs w:val="21"/>
        </w:rPr>
        <w:t>计算违约金；擅自更换主要技术负责人的，按签约合同价的</w:t>
      </w:r>
      <w:r>
        <w:rPr>
          <w:rFonts w:hint="eastAsia" w:ascii="宋体" w:hAnsi="宋体" w:cs="Microsoft Sans Serif"/>
          <w:kern w:val="0"/>
          <w:szCs w:val="21"/>
          <w:u w:val="single"/>
        </w:rPr>
        <w:t>1%/人·次</w:t>
      </w:r>
      <w:r>
        <w:rPr>
          <w:rFonts w:hint="eastAsia" w:ascii="宋体" w:hAnsi="宋体" w:cs="Microsoft Sans Serif"/>
          <w:kern w:val="0"/>
          <w:szCs w:val="21"/>
        </w:rPr>
        <w:t>支付违约金，累计不超过</w:t>
      </w:r>
      <w:r>
        <w:rPr>
          <w:rFonts w:hint="eastAsia" w:ascii="宋体" w:hAnsi="宋体" w:cs="Microsoft Sans Serif"/>
          <w:kern w:val="0"/>
          <w:szCs w:val="21"/>
          <w:u w:val="single"/>
        </w:rPr>
        <w:t>50万</w:t>
      </w:r>
      <w:r>
        <w:rPr>
          <w:rFonts w:hint="eastAsia" w:ascii="宋体" w:hAnsi="宋体" w:cs="Microsoft Sans Serif"/>
          <w:kern w:val="0"/>
          <w:szCs w:val="21"/>
          <w:u w:val="single"/>
          <w:lang w:eastAsia="zh-CN"/>
        </w:rPr>
        <w:t>。</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（18）合同另有约定的，按照其约定。</w:t>
      </w:r>
      <w:bookmarkStart w:id="1159" w:name="_Hlk524380347"/>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宋体" w:hAnsi="宋体" w:cs="Microsoft Sans Serif"/>
          <w:kern w:val="0"/>
          <w:szCs w:val="21"/>
        </w:rPr>
        <w:t>16.2.2项第（1）目承担违约责任</w:t>
      </w:r>
      <w:r>
        <w:rPr>
          <w:rFonts w:hint="eastAsia" w:ascii="宋体" w:hAnsi="宋体" w:cs="Microsoft Sans Serif"/>
          <w:szCs w:val="21"/>
        </w:rPr>
        <w:t>，并从应付或到期应付给承包人的任何款项中或采用其他方法，扣除该违约金。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承包人必须及时纠正违约行为并采取积极措施，满足合同要求，自行承担与纠正违约行为有关的人身伤亡、罚款、索赔、损失补偿、诉讼费用及其他一切责任，工期不予顺延</w:t>
      </w:r>
      <w:r>
        <w:rPr>
          <w:rFonts w:hint="eastAsia" w:ascii="宋体" w:hAnsi="宋体" w:cs="Microsoft Sans Serif"/>
          <w:kern w:val="0"/>
          <w:szCs w:val="21"/>
        </w:rPr>
        <w:t>，承担由此给</w:t>
      </w:r>
      <w:r>
        <w:rPr>
          <w:rFonts w:hint="eastAsia" w:ascii="宋体" w:hAnsi="宋体" w:cs="Microsoft Sans Serif"/>
          <w:szCs w:val="21"/>
        </w:rPr>
        <w:t>发包人造成的经济损失。</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承包人承担承包范围的工程质量、安全、环保责任，因承包人原因引起的质量、安全、环保等事故由承包人承担相应的法律后果。</w:t>
      </w:r>
    </w:p>
    <w:bookmarkEnd w:id="1159"/>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16.2.3 因承包人违约解除合同</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因承包人违约并致使合同目的不能实现的，发包人有权解除合同：</w:t>
      </w:r>
    </w:p>
    <w:p>
      <w:pPr>
        <w:pStyle w:val="206"/>
        <w:spacing w:line="360" w:lineRule="auto"/>
        <w:jc w:val="left"/>
        <w:rPr>
          <w:rFonts w:ascii="宋体" w:hAnsi="宋体" w:cs="Microsoft Sans Serif"/>
          <w:kern w:val="0"/>
          <w:sz w:val="21"/>
          <w:szCs w:val="21"/>
        </w:rPr>
      </w:pPr>
      <w:r>
        <w:rPr>
          <w:rFonts w:hint="eastAsia" w:ascii="宋体" w:hAnsi="宋体" w:cs="Microsoft Sans Serif"/>
          <w:kern w:val="0"/>
          <w:sz w:val="21"/>
          <w:szCs w:val="21"/>
        </w:rPr>
        <w:t>（1）未按合同约定延迟提供履约担保、质量保证金超过14天的；</w:t>
      </w:r>
    </w:p>
    <w:p>
      <w:pPr>
        <w:pStyle w:val="206"/>
        <w:spacing w:line="360" w:lineRule="auto"/>
        <w:jc w:val="left"/>
        <w:rPr>
          <w:rFonts w:ascii="宋体" w:hAnsi="宋体" w:cs="Microsoft Sans Serif"/>
          <w:kern w:val="0"/>
          <w:sz w:val="21"/>
          <w:szCs w:val="21"/>
        </w:rPr>
      </w:pPr>
      <w:r>
        <w:rPr>
          <w:rFonts w:hint="eastAsia" w:ascii="宋体" w:hAnsi="宋体" w:cs="Microsoft Sans Serif"/>
          <w:kern w:val="0"/>
          <w:sz w:val="21"/>
          <w:szCs w:val="21"/>
        </w:rPr>
        <w:t>（2）未按合同约定购买保险且经催告后超过56天的；</w:t>
      </w:r>
    </w:p>
    <w:p>
      <w:pPr>
        <w:pStyle w:val="206"/>
        <w:spacing w:line="360" w:lineRule="auto"/>
        <w:jc w:val="left"/>
        <w:rPr>
          <w:rFonts w:ascii="宋体" w:hAnsi="宋体" w:cs="Microsoft Sans Serif"/>
          <w:kern w:val="0"/>
          <w:sz w:val="21"/>
          <w:szCs w:val="21"/>
        </w:rPr>
      </w:pPr>
      <w:r>
        <w:rPr>
          <w:rFonts w:hint="eastAsia" w:ascii="宋体" w:hAnsi="宋体" w:cs="Microsoft Sans Serif"/>
          <w:kern w:val="0"/>
          <w:sz w:val="21"/>
          <w:szCs w:val="21"/>
        </w:rPr>
        <w:t>（3）因承包人原因导致开工时间累计延误超过56天的；</w:t>
      </w:r>
    </w:p>
    <w:p>
      <w:pPr>
        <w:pStyle w:val="206"/>
        <w:spacing w:line="360" w:lineRule="auto"/>
        <w:jc w:val="left"/>
        <w:rPr>
          <w:rFonts w:ascii="宋体" w:hAnsi="宋体" w:cs="Microsoft Sans Serif"/>
          <w:kern w:val="0"/>
          <w:sz w:val="21"/>
          <w:szCs w:val="21"/>
        </w:rPr>
      </w:pPr>
      <w:r>
        <w:rPr>
          <w:rFonts w:hint="eastAsia" w:ascii="宋体" w:hAnsi="宋体" w:cs="Microsoft Sans Serif"/>
          <w:kern w:val="0"/>
          <w:sz w:val="21"/>
          <w:szCs w:val="21"/>
        </w:rPr>
        <w:t>（4）因承包人原因导致工期延误超过90天的；</w:t>
      </w:r>
    </w:p>
    <w:p>
      <w:pPr>
        <w:pStyle w:val="206"/>
        <w:spacing w:line="360" w:lineRule="auto"/>
        <w:jc w:val="left"/>
        <w:rPr>
          <w:rFonts w:ascii="宋体" w:hAnsi="宋体" w:cs="Microsoft Sans Serif"/>
          <w:kern w:val="0"/>
          <w:sz w:val="21"/>
          <w:szCs w:val="21"/>
        </w:rPr>
      </w:pPr>
      <w:r>
        <w:rPr>
          <w:rFonts w:hint="eastAsia" w:ascii="宋体" w:hAnsi="宋体" w:cs="Microsoft Sans Serif"/>
          <w:kern w:val="0"/>
          <w:sz w:val="21"/>
          <w:szCs w:val="21"/>
        </w:rPr>
        <w:t>（5）发生第21.2款〔退出机制〕约定的情形的；</w:t>
      </w:r>
    </w:p>
    <w:p>
      <w:pPr>
        <w:pStyle w:val="206"/>
        <w:spacing w:line="360" w:lineRule="auto"/>
        <w:jc w:val="left"/>
        <w:rPr>
          <w:rFonts w:ascii="宋体" w:hAnsi="宋体" w:cs="Microsoft Sans Serif"/>
          <w:kern w:val="0"/>
          <w:sz w:val="21"/>
          <w:szCs w:val="21"/>
        </w:rPr>
      </w:pPr>
      <w:r>
        <w:rPr>
          <w:rFonts w:hint="eastAsia" w:ascii="宋体" w:hAnsi="宋体" w:cs="Microsoft Sans Serif"/>
          <w:kern w:val="0"/>
          <w:sz w:val="21"/>
          <w:szCs w:val="21"/>
        </w:rPr>
        <w:t>（6）监理人发出整改通知后，承包人在监理人限定的期限内仍不纠正违约行为的；</w:t>
      </w:r>
    </w:p>
    <w:p>
      <w:pPr>
        <w:pStyle w:val="206"/>
        <w:spacing w:line="360" w:lineRule="auto"/>
        <w:jc w:val="left"/>
        <w:rPr>
          <w:rFonts w:ascii="宋体" w:hAnsi="宋体" w:cs="Microsoft Sans Serif"/>
          <w:kern w:val="0"/>
          <w:sz w:val="21"/>
          <w:szCs w:val="21"/>
        </w:rPr>
      </w:pPr>
      <w:r>
        <w:rPr>
          <w:rFonts w:hint="eastAsia" w:ascii="宋体" w:hAnsi="宋体" w:cs="Microsoft Sans Serif"/>
          <w:kern w:val="0"/>
          <w:sz w:val="21"/>
          <w:szCs w:val="21"/>
        </w:rPr>
        <w:t>（7）承包人进入清算或者严重资不抵债且无法履行合同的；</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（8）违反适用法律而被相关政府部门依法吊销营业执照、责令停业、清算或宣布破产、责令关闭的；</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（9）承包人未履行合同项下的义务构成对合同的实质性违约，并且在收到发包人要求说明其违约并予以补救的通知后56天内仍未能补救该实质性违约的；</w:t>
      </w:r>
    </w:p>
    <w:p>
      <w:pPr>
        <w:pStyle w:val="206"/>
        <w:spacing w:line="360" w:lineRule="auto"/>
        <w:jc w:val="left"/>
        <w:rPr>
          <w:rFonts w:ascii="宋体" w:hAnsi="宋体" w:cs="Microsoft Sans Serif"/>
          <w:kern w:val="0"/>
          <w:sz w:val="21"/>
          <w:szCs w:val="21"/>
        </w:rPr>
      </w:pPr>
      <w:r>
        <w:rPr>
          <w:rFonts w:hint="eastAsia" w:ascii="宋体" w:hAnsi="宋体" w:cs="Microsoft Sans Serif"/>
          <w:kern w:val="0"/>
          <w:sz w:val="21"/>
          <w:szCs w:val="21"/>
        </w:rPr>
        <w:t>（10）合同约定其他情况的，发包人有权解除合同的。</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16.2.4因承包人违约解除合同后的处理</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因承包人违约导致合同解除的，合同当事人应在合同解除后56天内完成估价、付款和清算，并按以下约定执行：</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（1）合同解除后，按第14.2款结算审定方式确定承包人实际完成工作对应的合同价款，以及承包人已提供的材料、工程设备、施工设备和临时工程等的价值；</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（2）合同解除后，承包人应支付违约金；</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（3）合同解除后，赔偿因解除合同给发包人造成的损失；</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（4）合同解除后，承包人应按照发包人要求和监理人的指示完成现场的清理和撤离。</w:t>
      </w:r>
    </w:p>
    <w:p>
      <w:pPr>
        <w:spacing w:line="360" w:lineRule="auto"/>
        <w:ind w:firstLine="420" w:firstLineChars="200"/>
        <w:jc w:val="left"/>
        <w:rPr>
          <w:rFonts w:ascii="宋体" w:hAnsi="宋体"/>
          <w:szCs w:val="21"/>
        </w:rPr>
      </w:pPr>
      <w:r>
        <w:rPr>
          <w:rFonts w:hint="eastAsia" w:ascii="宋体" w:hAnsi="宋体" w:cs="Microsoft Sans Serif"/>
          <w:kern w:val="0"/>
          <w:szCs w:val="21"/>
        </w:rPr>
        <w:t>（5）</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因承包人违约解除合同的，发包人有权暂停对承包人的付款，查清各项付款和已扣款项。发包人和承包人未能就合同解除后的清算和款项支付达成一致的，按照第20条〔争议解决〕的约定处理。</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1146"/>
    <w:bookmarkEnd w:id="1147"/>
    <w:p>
      <w:pPr>
        <w:pStyle w:val="7"/>
        <w:spacing w:before="120" w:beforeLines="50" w:after="120" w:afterLines="50" w:line="360" w:lineRule="auto"/>
        <w:rPr>
          <w:sz w:val="21"/>
          <w:szCs w:val="21"/>
        </w:rPr>
      </w:pPr>
      <w:bookmarkStart w:id="1160" w:name="_Toc532375665"/>
      <w:bookmarkStart w:id="1161" w:name="_Toc351203649"/>
      <w:bookmarkStart w:id="1162" w:name="_Toc532377404"/>
      <w:bookmarkStart w:id="1163" w:name="_Hlk528928440"/>
      <w:r>
        <w:rPr>
          <w:rFonts w:hint="eastAsia"/>
          <w:sz w:val="21"/>
          <w:szCs w:val="21"/>
        </w:rPr>
        <w:t>17. 不可抗力</w:t>
      </w:r>
      <w:bookmarkEnd w:id="1160"/>
      <w:bookmarkEnd w:id="1161"/>
      <w:bookmarkEnd w:id="1162"/>
    </w:p>
    <w:p>
      <w:pPr>
        <w:pStyle w:val="8"/>
        <w:spacing w:before="0" w:after="0" w:line="360" w:lineRule="auto"/>
        <w:ind w:firstLine="422" w:firstLineChars="200"/>
        <w:rPr>
          <w:sz w:val="21"/>
          <w:szCs w:val="21"/>
        </w:rPr>
      </w:pPr>
      <w:bookmarkStart w:id="1164" w:name="_Toc532377405"/>
      <w:bookmarkStart w:id="1165" w:name="_Toc532375666"/>
      <w:r>
        <w:rPr>
          <w:rFonts w:hint="eastAsia"/>
          <w:sz w:val="21"/>
          <w:szCs w:val="21"/>
        </w:rPr>
        <w:t>17.1 不可抗力的确认</w:t>
      </w:r>
      <w:bookmarkEnd w:id="1164"/>
      <w:bookmarkEnd w:id="1165"/>
    </w:p>
    <w:p>
      <w:pPr>
        <w:spacing w:line="360" w:lineRule="auto"/>
        <w:ind w:right="105" w:rightChars="50" w:firstLine="420" w:firstLineChars="200"/>
        <w:jc w:val="left"/>
        <w:rPr>
          <w:rFonts w:ascii="宋体" w:hAnsi="宋体"/>
          <w:szCs w:val="21"/>
        </w:rPr>
      </w:pPr>
      <w:r>
        <w:rPr>
          <w:rFonts w:hint="eastAsia" w:ascii="宋体" w:hAnsi="宋体"/>
          <w:szCs w:val="21"/>
        </w:rPr>
        <w:t>除通用合同条款约定的不可抗力事件之外，视为不可抗力的其他情形：</w:t>
      </w:r>
      <w:bookmarkStart w:id="1166" w:name="_Hlk524379638"/>
    </w:p>
    <w:p>
      <w:pPr>
        <w:spacing w:line="360" w:lineRule="auto"/>
        <w:ind w:right="105" w:rightChars="50" w:firstLine="420" w:firstLineChars="200"/>
        <w:jc w:val="left"/>
        <w:rPr>
          <w:rFonts w:ascii="宋体" w:hAnsi="宋体"/>
          <w:szCs w:val="21"/>
        </w:rPr>
      </w:pPr>
      <w:r>
        <w:rPr>
          <w:rFonts w:hint="eastAsia" w:ascii="宋体" w:hAnsi="宋体"/>
          <w:szCs w:val="21"/>
        </w:rPr>
        <w:t>（1）洪水、火山爆发、山崩、山体滑坡、泥石流、龙卷风、隧道内不可预测的突发性地质灾害等自然灾害；</w:t>
      </w:r>
    </w:p>
    <w:p>
      <w:pPr>
        <w:spacing w:line="360" w:lineRule="auto"/>
        <w:ind w:right="105" w:rightChars="50" w:firstLine="420" w:firstLineChars="200"/>
        <w:jc w:val="left"/>
        <w:rPr>
          <w:rFonts w:ascii="宋体" w:hAnsi="宋体"/>
          <w:szCs w:val="21"/>
        </w:rPr>
      </w:pPr>
      <w:r>
        <w:rPr>
          <w:rFonts w:hint="eastAsia" w:ascii="宋体" w:hAnsi="宋体"/>
          <w:szCs w:val="21"/>
        </w:rPr>
        <w:t>（2）骚乱、戒严、封锁、禁运、恐怖行为、等社会行为，但承包人或其分包人派遣与雇佣的人员由于合同工程施工原因引起的除外；</w:t>
      </w:r>
    </w:p>
    <w:p>
      <w:pPr>
        <w:spacing w:line="360" w:lineRule="auto"/>
        <w:ind w:right="105" w:rightChars="50" w:firstLine="420" w:firstLineChars="200"/>
        <w:jc w:val="left"/>
        <w:rPr>
          <w:rFonts w:ascii="宋体" w:hAnsi="宋体"/>
          <w:szCs w:val="21"/>
        </w:rPr>
      </w:pPr>
      <w:r>
        <w:rPr>
          <w:rFonts w:hint="eastAsia" w:ascii="宋体" w:hAnsi="宋体"/>
          <w:szCs w:val="21"/>
        </w:rPr>
        <w:t>（3）不能合理预见的重大交通阻滞、停运、交通事故，非双方责任引起的火灾、爆炸、船舶撞击等情形；</w:t>
      </w:r>
    </w:p>
    <w:p>
      <w:pPr>
        <w:spacing w:line="360" w:lineRule="auto"/>
        <w:ind w:right="105" w:rightChars="50" w:firstLine="420" w:firstLineChars="200"/>
        <w:jc w:val="left"/>
        <w:rPr>
          <w:rFonts w:ascii="宋体" w:hAnsi="宋体"/>
          <w:szCs w:val="21"/>
        </w:rPr>
      </w:pPr>
      <w:r>
        <w:rPr>
          <w:rFonts w:hint="eastAsia" w:ascii="宋体" w:hAnsi="宋体"/>
          <w:szCs w:val="21"/>
        </w:rPr>
        <w:t>（4）化学或放射性污染或核辐射；</w:t>
      </w:r>
    </w:p>
    <w:p>
      <w:pPr>
        <w:spacing w:line="360" w:lineRule="auto"/>
        <w:ind w:right="105" w:rightChars="50" w:firstLine="420" w:firstLineChars="200"/>
        <w:jc w:val="left"/>
        <w:rPr>
          <w:rFonts w:ascii="宋体" w:hAnsi="宋体"/>
          <w:szCs w:val="21"/>
        </w:rPr>
      </w:pPr>
      <w:r>
        <w:rPr>
          <w:rFonts w:hint="eastAsia" w:ascii="宋体" w:hAnsi="宋体"/>
          <w:szCs w:val="21"/>
        </w:rPr>
        <w:t>（5）环保治理等政府行为导致项目停工的。</w:t>
      </w:r>
      <w:bookmarkEnd w:id="1166"/>
    </w:p>
    <w:p>
      <w:pPr>
        <w:spacing w:line="360" w:lineRule="auto"/>
        <w:ind w:right="105" w:rightChars="50" w:firstLine="420" w:firstLineChars="200"/>
        <w:jc w:val="left"/>
        <w:rPr>
          <w:rFonts w:ascii="宋体" w:hAnsi="宋体"/>
          <w:szCs w:val="21"/>
        </w:rPr>
      </w:pPr>
      <w:r>
        <w:rPr>
          <w:rFonts w:hint="eastAsia" w:ascii="宋体" w:hAnsi="宋体"/>
          <w:szCs w:val="21"/>
        </w:rPr>
        <w:t>（6）</w:t>
      </w:r>
      <w:r>
        <w:rPr>
          <w:rFonts w:hint="eastAsia" w:ascii="宋体" w:hAnsi="宋体"/>
          <w:szCs w:val="21"/>
          <w:u w:val="single"/>
        </w:rPr>
        <w:t xml:space="preserve">        </w:t>
      </w:r>
      <w:r>
        <w:rPr>
          <w:rFonts w:hint="eastAsia" w:ascii="宋体" w:hAnsi="宋体"/>
          <w:szCs w:val="21"/>
        </w:rPr>
        <w:t>。</w:t>
      </w:r>
    </w:p>
    <w:p>
      <w:pPr>
        <w:pStyle w:val="8"/>
        <w:spacing w:before="0" w:after="0" w:line="360" w:lineRule="auto"/>
        <w:ind w:firstLine="422" w:firstLineChars="200"/>
        <w:rPr>
          <w:sz w:val="21"/>
          <w:szCs w:val="21"/>
        </w:rPr>
      </w:pPr>
      <w:bookmarkStart w:id="1167" w:name="_Toc532375667"/>
      <w:bookmarkStart w:id="1168" w:name="_Toc351203610"/>
      <w:bookmarkStart w:id="1169" w:name="_Toc532377406"/>
      <w:bookmarkStart w:id="1170" w:name="_Toc337558826"/>
      <w:bookmarkStart w:id="1171" w:name="_Toc296346620"/>
      <w:bookmarkStart w:id="1172" w:name="_Toc296503119"/>
      <w:r>
        <w:rPr>
          <w:rFonts w:hint="eastAsia"/>
          <w:sz w:val="21"/>
          <w:szCs w:val="21"/>
        </w:rPr>
        <w:t>17.3 不可抗力后果的承担</w:t>
      </w:r>
      <w:bookmarkEnd w:id="1167"/>
      <w:bookmarkEnd w:id="1168"/>
      <w:bookmarkEnd w:id="1169"/>
    </w:p>
    <w:bookmarkEnd w:id="1170"/>
    <w:bookmarkEnd w:id="1171"/>
    <w:bookmarkEnd w:id="1172"/>
    <w:p>
      <w:pPr>
        <w:spacing w:line="360" w:lineRule="auto"/>
        <w:ind w:right="105" w:rightChars="50" w:firstLine="420" w:firstLineChars="200"/>
        <w:jc w:val="left"/>
        <w:rPr>
          <w:rFonts w:ascii="宋体" w:hAnsi="宋体"/>
          <w:szCs w:val="21"/>
        </w:rPr>
      </w:pPr>
      <w:r>
        <w:rPr>
          <w:rFonts w:hint="eastAsia" w:ascii="宋体" w:hAnsi="宋体"/>
          <w:szCs w:val="21"/>
        </w:rPr>
        <w:t>17.3.1 不可抗力引起的后果及造成的损失由合同当事人按照法律规定及合同约定各自承担。不可抗力发生前已完成的工程应当按照合同约定进行计量支付。</w:t>
      </w:r>
    </w:p>
    <w:p>
      <w:pPr>
        <w:spacing w:line="360" w:lineRule="auto"/>
        <w:ind w:right="105" w:rightChars="50" w:firstLine="420" w:firstLineChars="200"/>
        <w:jc w:val="left"/>
        <w:rPr>
          <w:rFonts w:ascii="宋体" w:hAnsi="宋体"/>
          <w:szCs w:val="21"/>
        </w:rPr>
      </w:pPr>
      <w:r>
        <w:rPr>
          <w:rFonts w:hint="eastAsia" w:ascii="宋体" w:hAnsi="宋体"/>
          <w:szCs w:val="21"/>
        </w:rPr>
        <w:t>17.3.2 不可抗力导致的人员伤亡、财产损失、费用增加和（或）工期延误等后果，由合同当事人按以下原则承担：</w:t>
      </w:r>
    </w:p>
    <w:p>
      <w:pPr>
        <w:spacing w:line="360" w:lineRule="auto"/>
        <w:ind w:right="105" w:rightChars="50" w:firstLine="420" w:firstLineChars="200"/>
        <w:jc w:val="left"/>
        <w:rPr>
          <w:rFonts w:ascii="宋体" w:hAnsi="宋体"/>
          <w:szCs w:val="21"/>
        </w:rPr>
      </w:pPr>
      <w:r>
        <w:rPr>
          <w:rFonts w:hint="eastAsia" w:ascii="宋体" w:hAnsi="宋体"/>
          <w:szCs w:val="21"/>
        </w:rPr>
        <w:t>（1）永久工程、已运至施工现场的施工材料和工程设备的损坏，以及因工程损坏造成的第三方人员伤亡和财产损失由发包人承担；</w:t>
      </w:r>
    </w:p>
    <w:p>
      <w:pPr>
        <w:spacing w:line="360" w:lineRule="auto"/>
        <w:ind w:right="105" w:rightChars="50" w:firstLine="420" w:firstLineChars="200"/>
        <w:jc w:val="left"/>
        <w:rPr>
          <w:rFonts w:ascii="宋体" w:hAnsi="宋体"/>
          <w:szCs w:val="21"/>
        </w:rPr>
      </w:pPr>
      <w:r>
        <w:rPr>
          <w:rFonts w:hint="eastAsia" w:ascii="宋体" w:hAnsi="宋体"/>
          <w:szCs w:val="21"/>
        </w:rPr>
        <w:t>（2）承包人施工设备的损坏由承包人承担；</w:t>
      </w:r>
    </w:p>
    <w:p>
      <w:pPr>
        <w:spacing w:line="360" w:lineRule="auto"/>
        <w:ind w:right="105" w:rightChars="50" w:firstLine="420" w:firstLineChars="200"/>
        <w:jc w:val="left"/>
        <w:rPr>
          <w:rFonts w:ascii="宋体" w:hAnsi="宋体"/>
          <w:szCs w:val="21"/>
        </w:rPr>
      </w:pPr>
      <w:r>
        <w:rPr>
          <w:rFonts w:hint="eastAsia" w:ascii="宋体" w:hAnsi="宋体"/>
          <w:szCs w:val="21"/>
        </w:rPr>
        <w:t>（3）发包人和承包人承担各自人员伤亡和财产的损失；</w:t>
      </w:r>
    </w:p>
    <w:p>
      <w:pPr>
        <w:spacing w:line="360" w:lineRule="auto"/>
        <w:ind w:right="105" w:rightChars="50" w:firstLine="420" w:firstLineChars="200"/>
        <w:jc w:val="left"/>
        <w:rPr>
          <w:rFonts w:ascii="宋体" w:hAnsi="宋体"/>
          <w:szCs w:val="21"/>
        </w:rPr>
      </w:pPr>
      <w:r>
        <w:rPr>
          <w:rFonts w:hint="eastAsia" w:ascii="宋体" w:hAnsi="宋体"/>
          <w:szCs w:val="21"/>
        </w:rPr>
        <w:t>（4）因不可抗力影响承包人履行合同约定的义务，已经引起或将引起工期延误的，应当顺延工期，由此导致承包人停工的费用损失由发包人和承包人合理共担，停工期间必须支付的工人工资由发包人承担；</w:t>
      </w:r>
    </w:p>
    <w:p>
      <w:pPr>
        <w:spacing w:line="360" w:lineRule="auto"/>
        <w:ind w:right="105" w:rightChars="50" w:firstLine="420" w:firstLineChars="200"/>
        <w:jc w:val="left"/>
        <w:rPr>
          <w:rFonts w:ascii="宋体" w:hAnsi="宋体"/>
          <w:szCs w:val="21"/>
        </w:rPr>
      </w:pPr>
      <w:r>
        <w:rPr>
          <w:rFonts w:hint="eastAsia" w:ascii="宋体" w:hAnsi="宋体"/>
          <w:szCs w:val="21"/>
        </w:rPr>
        <w:t>（5）因不可抗力引起或将引起工期延误，发包人要求赶工的，由此增加的赶工费用由发包人承担；</w:t>
      </w:r>
    </w:p>
    <w:p>
      <w:pPr>
        <w:spacing w:line="360" w:lineRule="auto"/>
        <w:ind w:right="105" w:rightChars="50" w:firstLine="420" w:firstLineChars="200"/>
        <w:jc w:val="left"/>
        <w:rPr>
          <w:rFonts w:ascii="宋体" w:hAnsi="宋体"/>
          <w:szCs w:val="21"/>
        </w:rPr>
      </w:pPr>
      <w:r>
        <w:rPr>
          <w:rFonts w:hint="eastAsia" w:ascii="宋体" w:hAnsi="宋体"/>
          <w:szCs w:val="21"/>
        </w:rPr>
        <w:t>（6）承包人在停工期间按照发包人要求照管、清理和修复工程的费用由发包人承担；</w:t>
      </w:r>
    </w:p>
    <w:p>
      <w:pPr>
        <w:spacing w:line="360" w:lineRule="auto"/>
        <w:ind w:right="105" w:rightChars="50" w:firstLine="420" w:firstLineChars="200"/>
        <w:jc w:val="left"/>
        <w:rPr>
          <w:rFonts w:ascii="宋体" w:hAnsi="宋体"/>
          <w:szCs w:val="21"/>
        </w:rPr>
      </w:pPr>
      <w:r>
        <w:rPr>
          <w:rFonts w:hint="eastAsia" w:ascii="宋体" w:hAnsi="宋体"/>
          <w:szCs w:val="21"/>
        </w:rPr>
        <w:t>（7）不可抗力事件发生后，合同当事人均应采取措施尽量避免和减少损失的扩大，任何一方当事人没有采取有效措施导致损失扩大的，应对扩大的损失承担责任。</w:t>
      </w:r>
    </w:p>
    <w:p>
      <w:pPr>
        <w:spacing w:line="360" w:lineRule="auto"/>
        <w:ind w:right="105" w:rightChars="50" w:firstLine="420" w:firstLineChars="200"/>
        <w:jc w:val="left"/>
        <w:rPr>
          <w:rFonts w:ascii="宋体" w:hAnsi="宋体"/>
          <w:szCs w:val="21"/>
        </w:rPr>
      </w:pPr>
      <w:r>
        <w:rPr>
          <w:rFonts w:hint="eastAsia" w:ascii="宋体" w:hAnsi="宋体"/>
          <w:szCs w:val="21"/>
        </w:rPr>
        <w:t>（8）</w:t>
      </w:r>
      <w:r>
        <w:rPr>
          <w:rFonts w:hint="eastAsia" w:ascii="宋体" w:hAnsi="宋体"/>
          <w:szCs w:val="21"/>
          <w:u w:val="single"/>
        </w:rPr>
        <w:t xml:space="preserve">        </w:t>
      </w:r>
      <w:r>
        <w:rPr>
          <w:rFonts w:hint="eastAsia" w:ascii="宋体" w:hAnsi="宋体"/>
          <w:szCs w:val="21"/>
        </w:rPr>
        <w:t>。</w:t>
      </w:r>
    </w:p>
    <w:p>
      <w:pPr>
        <w:pStyle w:val="8"/>
        <w:spacing w:before="0" w:after="0" w:line="360" w:lineRule="auto"/>
        <w:ind w:firstLine="422" w:firstLineChars="200"/>
        <w:rPr>
          <w:sz w:val="21"/>
          <w:szCs w:val="21"/>
        </w:rPr>
      </w:pPr>
      <w:bookmarkStart w:id="1173" w:name="_Toc532377407"/>
      <w:bookmarkStart w:id="1174" w:name="_Toc532375668"/>
      <w:r>
        <w:rPr>
          <w:rFonts w:hint="eastAsia"/>
          <w:sz w:val="21"/>
          <w:szCs w:val="21"/>
        </w:rPr>
        <w:t>17.4 因不可抗力解除合同</w:t>
      </w:r>
      <w:bookmarkEnd w:id="1173"/>
      <w:bookmarkEnd w:id="1174"/>
    </w:p>
    <w:p>
      <w:pPr>
        <w:spacing w:line="360" w:lineRule="auto"/>
        <w:ind w:right="105" w:rightChars="50" w:firstLine="420" w:firstLineChars="200"/>
        <w:jc w:val="left"/>
        <w:rPr>
          <w:rFonts w:ascii="宋体" w:hAnsi="宋体"/>
          <w:szCs w:val="21"/>
        </w:rPr>
      </w:pPr>
      <w:r>
        <w:rPr>
          <w:rFonts w:hint="eastAsia" w:ascii="宋体" w:hAnsi="宋体"/>
          <w:szCs w:val="21"/>
        </w:rPr>
        <w:t>合同解除后，发包人应在商定或确定发包人应支付款项后</w:t>
      </w:r>
      <w:r>
        <w:rPr>
          <w:rFonts w:hint="eastAsia" w:ascii="宋体" w:hAnsi="宋体"/>
          <w:szCs w:val="21"/>
          <w:u w:val="single"/>
        </w:rPr>
        <w:t>28</w:t>
      </w:r>
      <w:r>
        <w:rPr>
          <w:rFonts w:hint="eastAsia" w:ascii="宋体" w:hAnsi="宋体"/>
          <w:szCs w:val="21"/>
        </w:rPr>
        <w:t>天内完成款项的支付。</w:t>
      </w:r>
    </w:p>
    <w:p>
      <w:pPr>
        <w:pStyle w:val="7"/>
        <w:spacing w:before="120" w:beforeLines="50" w:after="120" w:afterLines="50" w:line="360" w:lineRule="auto"/>
        <w:rPr>
          <w:sz w:val="21"/>
          <w:szCs w:val="21"/>
        </w:rPr>
      </w:pPr>
      <w:bookmarkStart w:id="1175" w:name="_Toc351203650"/>
      <w:bookmarkStart w:id="1176" w:name="_Toc532375669"/>
      <w:bookmarkStart w:id="1177" w:name="_Toc532377408"/>
      <w:r>
        <w:rPr>
          <w:rFonts w:hint="eastAsia"/>
          <w:sz w:val="21"/>
          <w:szCs w:val="21"/>
        </w:rPr>
        <w:t>18. 保险</w:t>
      </w:r>
      <w:bookmarkEnd w:id="1175"/>
      <w:bookmarkEnd w:id="1176"/>
      <w:bookmarkEnd w:id="1177"/>
    </w:p>
    <w:p>
      <w:pPr>
        <w:pStyle w:val="8"/>
        <w:spacing w:before="0" w:after="0" w:line="360" w:lineRule="auto"/>
        <w:ind w:firstLine="422" w:firstLineChars="200"/>
        <w:rPr>
          <w:sz w:val="21"/>
          <w:szCs w:val="21"/>
        </w:rPr>
      </w:pPr>
      <w:bookmarkStart w:id="1178" w:name="_Toc532375670"/>
      <w:bookmarkStart w:id="1179" w:name="_Toc532377409"/>
      <w:r>
        <w:rPr>
          <w:rFonts w:hint="eastAsia"/>
          <w:sz w:val="21"/>
          <w:szCs w:val="21"/>
        </w:rPr>
        <w:t>18.1 工程保险</w:t>
      </w:r>
      <w:bookmarkEnd w:id="1178"/>
      <w:bookmarkEnd w:id="1179"/>
    </w:p>
    <w:p>
      <w:pPr>
        <w:spacing w:line="360" w:lineRule="auto"/>
        <w:ind w:right="105" w:rightChars="50" w:firstLine="420" w:firstLineChars="200"/>
        <w:jc w:val="left"/>
        <w:rPr>
          <w:rFonts w:ascii="宋体" w:hAnsi="宋体"/>
          <w:szCs w:val="21"/>
        </w:rPr>
      </w:pPr>
      <w:r>
        <w:rPr>
          <w:rFonts w:hint="eastAsia" w:ascii="宋体" w:hAnsi="宋体"/>
          <w:szCs w:val="21"/>
        </w:rPr>
        <w:t>关于工程保险的特别约定：发包人应投保</w:t>
      </w:r>
      <w:r>
        <w:rPr>
          <w:rFonts w:hint="eastAsia" w:ascii="宋体" w:hAnsi="宋体"/>
          <w:szCs w:val="21"/>
          <w:u w:val="single"/>
        </w:rPr>
        <w:t>建筑工程一切险或安装工程一切险</w:t>
      </w:r>
      <w:r>
        <w:rPr>
          <w:rFonts w:hint="eastAsia" w:ascii="宋体" w:hAnsi="宋体"/>
          <w:szCs w:val="21"/>
        </w:rPr>
        <w:t>；发包人委托承包人投保的，因投保产生的保险费和其他相关费用由发包人承担。</w:t>
      </w:r>
    </w:p>
    <w:p>
      <w:pPr>
        <w:pStyle w:val="8"/>
        <w:spacing w:before="0" w:after="0" w:line="360" w:lineRule="auto"/>
        <w:ind w:firstLine="422" w:firstLineChars="200"/>
        <w:rPr>
          <w:sz w:val="21"/>
          <w:szCs w:val="21"/>
        </w:rPr>
      </w:pPr>
      <w:bookmarkStart w:id="1180" w:name="_Toc532377410"/>
      <w:bookmarkStart w:id="1181" w:name="_Toc532375671"/>
      <w:r>
        <w:rPr>
          <w:rFonts w:hint="eastAsia"/>
          <w:sz w:val="21"/>
          <w:szCs w:val="21"/>
        </w:rPr>
        <w:t>18.3 其他保险</w:t>
      </w:r>
      <w:bookmarkEnd w:id="1180"/>
      <w:bookmarkEnd w:id="1181"/>
    </w:p>
    <w:p>
      <w:pPr>
        <w:spacing w:line="360" w:lineRule="auto"/>
        <w:ind w:right="105" w:rightChars="50" w:firstLine="420" w:firstLineChars="200"/>
        <w:jc w:val="left"/>
        <w:rPr>
          <w:rFonts w:ascii="宋体" w:hAnsi="宋体"/>
          <w:szCs w:val="21"/>
        </w:rPr>
      </w:pPr>
      <w:r>
        <w:rPr>
          <w:rFonts w:hint="eastAsia" w:ascii="宋体" w:hAnsi="宋体"/>
          <w:szCs w:val="21"/>
        </w:rPr>
        <w:t>关于其他保险的约定：</w:t>
      </w:r>
      <w:r>
        <w:rPr>
          <w:rFonts w:hint="eastAsia" w:ascii="宋体" w:hAnsi="宋体"/>
          <w:szCs w:val="21"/>
          <w:u w:val="single"/>
        </w:rPr>
        <w:t xml:space="preserve">    /    </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承包人是否应为其施工设备等办理财产保险：</w:t>
      </w:r>
      <w:r>
        <w:rPr>
          <w:rFonts w:hint="eastAsia" w:ascii="宋体" w:hAnsi="宋体"/>
          <w:szCs w:val="21"/>
          <w:u w:val="single"/>
        </w:rPr>
        <w:t xml:space="preserve">    /    </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安全生产责任险：</w:t>
      </w:r>
      <w:r>
        <w:rPr>
          <w:rFonts w:hint="eastAsia" w:ascii="宋体" w:hAnsi="宋体"/>
          <w:szCs w:val="21"/>
          <w:u w:val="single"/>
        </w:rPr>
        <w:t>承包人应按《重庆市人民政府办公厅关于在高危行业领域强制推行安全生产责任保险的实施意见》（渝府办法〔2017〕182号）的要求办理安全生产责任保险</w:t>
      </w:r>
      <w:r>
        <w:rPr>
          <w:rFonts w:hint="eastAsia" w:ascii="宋体" w:hAnsi="宋体"/>
          <w:szCs w:val="21"/>
        </w:rPr>
        <w:t>。</w:t>
      </w:r>
    </w:p>
    <w:p>
      <w:pPr>
        <w:pStyle w:val="8"/>
        <w:spacing w:before="0" w:after="0" w:line="360" w:lineRule="auto"/>
        <w:ind w:firstLine="422" w:firstLineChars="200"/>
        <w:rPr>
          <w:sz w:val="21"/>
          <w:szCs w:val="21"/>
        </w:rPr>
      </w:pPr>
      <w:bookmarkStart w:id="1182" w:name="_Toc532377411"/>
      <w:bookmarkStart w:id="1183" w:name="_Toc532375672"/>
      <w:r>
        <w:rPr>
          <w:rFonts w:hint="eastAsia"/>
          <w:sz w:val="21"/>
          <w:szCs w:val="21"/>
        </w:rPr>
        <w:t>18.7 通知义务</w:t>
      </w:r>
      <w:bookmarkEnd w:id="1182"/>
      <w:bookmarkEnd w:id="1183"/>
    </w:p>
    <w:p>
      <w:pPr>
        <w:spacing w:line="360" w:lineRule="auto"/>
        <w:ind w:right="105" w:rightChars="50" w:firstLine="420" w:firstLineChars="200"/>
        <w:jc w:val="left"/>
        <w:rPr>
          <w:rFonts w:ascii="宋体" w:hAnsi="宋体"/>
          <w:szCs w:val="21"/>
        </w:rPr>
      </w:pPr>
      <w:r>
        <w:rPr>
          <w:rFonts w:hint="eastAsia" w:ascii="宋体" w:hAnsi="宋体"/>
          <w:szCs w:val="21"/>
        </w:rPr>
        <w:t>关于变更保险合同时的通知义务的约定：</w:t>
      </w:r>
      <w:r>
        <w:rPr>
          <w:rFonts w:hint="eastAsia" w:ascii="宋体" w:hAnsi="宋体"/>
          <w:szCs w:val="21"/>
          <w:u w:val="single"/>
        </w:rPr>
        <w:t>按通用合同条款执行</w:t>
      </w:r>
      <w:r>
        <w:rPr>
          <w:rFonts w:hint="eastAsia" w:ascii="宋体" w:hAnsi="宋体"/>
          <w:szCs w:val="21"/>
        </w:rPr>
        <w:t>。</w:t>
      </w:r>
    </w:p>
    <w:p>
      <w:pPr>
        <w:pStyle w:val="8"/>
        <w:spacing w:before="0" w:after="0" w:line="360" w:lineRule="auto"/>
        <w:ind w:firstLine="422" w:firstLineChars="200"/>
        <w:rPr>
          <w:sz w:val="21"/>
          <w:szCs w:val="21"/>
        </w:rPr>
      </w:pPr>
      <w:bookmarkStart w:id="1184" w:name="_Toc532377412"/>
      <w:bookmarkStart w:id="1185" w:name="_Toc532375673"/>
      <w:r>
        <w:rPr>
          <w:rFonts w:hint="eastAsia"/>
          <w:sz w:val="21"/>
          <w:szCs w:val="21"/>
        </w:rPr>
        <w:t>18.8 其他</w:t>
      </w:r>
      <w:bookmarkEnd w:id="1184"/>
      <w:bookmarkEnd w:id="1185"/>
    </w:p>
    <w:p>
      <w:pPr>
        <w:spacing w:line="360" w:lineRule="auto"/>
        <w:ind w:right="105" w:rightChars="50" w:firstLine="420" w:firstLineChars="200"/>
        <w:jc w:val="left"/>
        <w:rPr>
          <w:rFonts w:ascii="宋体" w:hAnsi="宋体"/>
          <w:szCs w:val="21"/>
        </w:rPr>
      </w:pPr>
      <w:r>
        <w:rPr>
          <w:rFonts w:hint="eastAsia" w:ascii="宋体" w:hAnsi="宋体"/>
          <w:szCs w:val="21"/>
        </w:rPr>
        <w:t>18.8.1 工程开工日前，承包人向发包人提交各项生效的保险证据和保险单副本。未按本项约定提交的，每延后1天，承包人按500元/天支付违约金。</w:t>
      </w:r>
    </w:p>
    <w:p>
      <w:pPr>
        <w:spacing w:line="360" w:lineRule="auto"/>
        <w:ind w:right="105" w:rightChars="50" w:firstLine="420" w:firstLineChars="200"/>
        <w:jc w:val="left"/>
        <w:rPr>
          <w:rFonts w:ascii="宋体" w:hAnsi="宋体"/>
          <w:szCs w:val="21"/>
        </w:rPr>
      </w:pPr>
      <w:r>
        <w:rPr>
          <w:rFonts w:hint="eastAsia" w:ascii="宋体" w:hAnsi="宋体"/>
          <w:szCs w:val="21"/>
        </w:rPr>
        <w:t>18.8.2 承包人保险赔偿金不足以补偿发包人损失时，</w:t>
      </w:r>
      <w:bookmarkStart w:id="1186" w:name="_Hlk524378346"/>
      <w:r>
        <w:rPr>
          <w:rFonts w:hint="eastAsia" w:ascii="宋体" w:hAnsi="宋体"/>
          <w:szCs w:val="21"/>
        </w:rPr>
        <w:t>差额由承包人负责补足</w:t>
      </w:r>
      <w:bookmarkEnd w:id="1186"/>
      <w:r>
        <w:rPr>
          <w:rFonts w:hint="eastAsia" w:ascii="宋体" w:hAnsi="宋体"/>
          <w:szCs w:val="21"/>
        </w:rPr>
        <w:t>。</w:t>
      </w:r>
    </w:p>
    <w:p>
      <w:pPr>
        <w:pStyle w:val="7"/>
        <w:spacing w:before="120" w:beforeLines="50" w:after="120" w:afterLines="50" w:line="360" w:lineRule="auto"/>
        <w:rPr>
          <w:sz w:val="21"/>
          <w:szCs w:val="21"/>
        </w:rPr>
      </w:pPr>
      <w:bookmarkStart w:id="1187" w:name="_Toc532377413"/>
      <w:bookmarkStart w:id="1188" w:name="_Toc351203620"/>
      <w:bookmarkStart w:id="1189" w:name="_Toc532375674"/>
      <w:bookmarkStart w:id="1190" w:name="_Toc296346641"/>
      <w:bookmarkStart w:id="1191" w:name="_Toc296503140"/>
      <w:bookmarkStart w:id="1192" w:name="_Toc337558835"/>
      <w:r>
        <w:rPr>
          <w:rFonts w:hint="eastAsia"/>
          <w:sz w:val="21"/>
          <w:szCs w:val="21"/>
        </w:rPr>
        <w:t>19. 索赔</w:t>
      </w:r>
      <w:bookmarkEnd w:id="1187"/>
      <w:bookmarkEnd w:id="1188"/>
      <w:bookmarkEnd w:id="1189"/>
    </w:p>
    <w:bookmarkEnd w:id="1190"/>
    <w:bookmarkEnd w:id="1191"/>
    <w:bookmarkEnd w:id="1192"/>
    <w:p>
      <w:pPr>
        <w:pStyle w:val="8"/>
        <w:spacing w:before="0" w:after="0" w:line="360" w:lineRule="auto"/>
        <w:ind w:firstLine="422" w:firstLineChars="200"/>
        <w:rPr>
          <w:sz w:val="21"/>
          <w:szCs w:val="21"/>
        </w:rPr>
      </w:pPr>
      <w:bookmarkStart w:id="1193" w:name="_Toc532377414"/>
      <w:bookmarkStart w:id="1194" w:name="_Toc532375675"/>
      <w:bookmarkStart w:id="1195" w:name="_Toc296346642"/>
      <w:bookmarkStart w:id="1196" w:name="_Toc296503141"/>
      <w:bookmarkStart w:id="1197" w:name="_Toc351203621"/>
      <w:bookmarkStart w:id="1198" w:name="_Toc337558836"/>
      <w:r>
        <w:rPr>
          <w:rFonts w:hint="eastAsia"/>
          <w:sz w:val="21"/>
          <w:szCs w:val="21"/>
        </w:rPr>
        <w:t>19.1 承包人的索赔</w:t>
      </w:r>
      <w:bookmarkEnd w:id="1193"/>
      <w:bookmarkEnd w:id="1194"/>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根据合同约定，承包人认为有权得到追加付款和（或）延长工期的，应按以下程序向发包人提出索赔：</w:t>
      </w:r>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（1）承包人应在索赔事件发生后28天内，向监理人递交索赔意向通知书，并说明发生索赔事件的事由；承包人未在前述28天内发出索赔意向通知书的，丧失要求追加付款和（或）延长工期的权利；</w:t>
      </w:r>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（3）索赔事件具有持续影响的，承包人应按监理人要求的合理时间间隔继续递交延续索赔通知，说明持续影响的实际情况和记录，列出累计的追加付款金额和（或）工期延长天数；</w:t>
      </w:r>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（4）在索赔事件影响结束后28天内，承包人应向监理人递交最终索赔报告，说明最终要求索赔的追加付款金额和（或）延长的工期，并附必要的记录和证明材料。</w:t>
      </w:r>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（5）</w:t>
      </w:r>
      <w:r>
        <w:rPr>
          <w:rFonts w:hint="eastAsia" w:ascii="宋体" w:hAnsi="宋体"/>
          <w:szCs w:val="21"/>
          <w:u w:val="single"/>
        </w:rPr>
        <w:t xml:space="preserve">        </w:t>
      </w:r>
      <w:r>
        <w:rPr>
          <w:rFonts w:hint="eastAsia" w:ascii="宋体" w:hAnsi="宋体"/>
          <w:szCs w:val="21"/>
        </w:rPr>
        <w:t>。</w:t>
      </w:r>
    </w:p>
    <w:p>
      <w:pPr>
        <w:pStyle w:val="8"/>
        <w:spacing w:before="0" w:after="0" w:line="360" w:lineRule="auto"/>
        <w:ind w:firstLine="422" w:firstLineChars="200"/>
        <w:rPr>
          <w:sz w:val="21"/>
          <w:szCs w:val="21"/>
        </w:rPr>
      </w:pPr>
      <w:bookmarkStart w:id="1199" w:name="_Toc532375676"/>
      <w:bookmarkStart w:id="1200" w:name="_Toc532377415"/>
      <w:r>
        <w:rPr>
          <w:rFonts w:hint="eastAsia"/>
          <w:sz w:val="21"/>
          <w:szCs w:val="21"/>
        </w:rPr>
        <w:t>19.2 对承包人索赔的处理</w:t>
      </w:r>
      <w:bookmarkEnd w:id="1199"/>
      <w:bookmarkEnd w:id="1200"/>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对承包人索赔的处理如下：</w:t>
      </w:r>
    </w:p>
    <w:p>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u w:val="single"/>
        </w:rPr>
        <w:t>（1）监理人应在收到索赔报告后14天内完成审查并报送发包人。监理人对索赔报告存在异议的，有权要求承包人提交全部原始记录副本</w:t>
      </w:r>
      <w:r>
        <w:rPr>
          <w:rFonts w:hint="eastAsia" w:ascii="宋体" w:hAnsi="宋体"/>
          <w:szCs w:val="21"/>
        </w:rPr>
        <w:t>；</w:t>
      </w:r>
    </w:p>
    <w:p>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宋体" w:hAnsi="宋体"/>
          <w:szCs w:val="21"/>
        </w:rPr>
        <w:t>；</w:t>
      </w:r>
    </w:p>
    <w:p>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u w:val="single"/>
        </w:rPr>
        <w:t>（3）承包人接受索赔处理结果的，索赔款项在当期进度款中进行支付；承包人不接受索赔处理结果的，按照第20条〔争议解决〕约定处理</w:t>
      </w:r>
      <w:r>
        <w:rPr>
          <w:rFonts w:hint="eastAsia" w:ascii="宋体" w:hAnsi="宋体"/>
          <w:szCs w:val="21"/>
        </w:rPr>
        <w:t>；</w:t>
      </w:r>
    </w:p>
    <w:p>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u w:val="single"/>
        </w:rPr>
        <w:t>（4）工期延误的关键线路按照经监理人、发包人审批同意的施工组织设计计算</w:t>
      </w:r>
      <w:r>
        <w:rPr>
          <w:rFonts w:hint="eastAsia" w:ascii="宋体" w:hAnsi="宋体"/>
          <w:szCs w:val="21"/>
        </w:rPr>
        <w:t>。</w:t>
      </w:r>
    </w:p>
    <w:p>
      <w:pPr>
        <w:pStyle w:val="8"/>
        <w:spacing w:before="0" w:after="0" w:line="360" w:lineRule="auto"/>
        <w:ind w:firstLine="422" w:firstLineChars="200"/>
        <w:rPr>
          <w:sz w:val="21"/>
          <w:szCs w:val="21"/>
        </w:rPr>
      </w:pPr>
      <w:bookmarkStart w:id="1201" w:name="_Toc532377416"/>
      <w:bookmarkStart w:id="1202" w:name="_Toc532375677"/>
      <w:r>
        <w:rPr>
          <w:rFonts w:hint="eastAsia"/>
          <w:sz w:val="21"/>
          <w:szCs w:val="21"/>
        </w:rPr>
        <w:t>19.3发包人的索赔</w:t>
      </w:r>
      <w:bookmarkEnd w:id="1201"/>
      <w:bookmarkEnd w:id="1202"/>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根据合同约定，发包人认为有权得到赔付金额和（或）延长缺陷责任期的，监理人应向承包人发出通知并附有详细的证明。</w:t>
      </w:r>
    </w:p>
    <w:p>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1203" w:name="_Hlk528652769"/>
      <w:r>
        <w:rPr>
          <w:rFonts w:hint="eastAsia" w:ascii="宋体" w:hAnsi="宋体"/>
          <w:szCs w:val="21"/>
        </w:rPr>
        <w:t>通过监理人向承包人正式递交最终索赔报告</w:t>
      </w:r>
      <w:bookmarkEnd w:id="1203"/>
      <w:r>
        <w:rPr>
          <w:rFonts w:hint="eastAsia" w:ascii="宋体" w:hAnsi="宋体"/>
          <w:szCs w:val="21"/>
        </w:rPr>
        <w:t>。</w:t>
      </w:r>
    </w:p>
    <w:p>
      <w:pPr>
        <w:pStyle w:val="8"/>
        <w:spacing w:before="0" w:after="0" w:line="360" w:lineRule="auto"/>
        <w:ind w:firstLine="422" w:firstLineChars="200"/>
        <w:rPr>
          <w:sz w:val="21"/>
          <w:szCs w:val="21"/>
        </w:rPr>
      </w:pPr>
      <w:bookmarkStart w:id="1204" w:name="_Toc532375678"/>
      <w:bookmarkStart w:id="1205" w:name="_Toc532377417"/>
      <w:r>
        <w:rPr>
          <w:rFonts w:hint="eastAsia"/>
          <w:sz w:val="21"/>
          <w:szCs w:val="21"/>
        </w:rPr>
        <w:t>19.4 对发包人索赔的处理</w:t>
      </w:r>
      <w:bookmarkEnd w:id="1204"/>
      <w:bookmarkEnd w:id="1205"/>
    </w:p>
    <w:p>
      <w:pPr>
        <w:autoSpaceDE w:val="0"/>
        <w:autoSpaceDN w:val="0"/>
        <w:spacing w:line="360" w:lineRule="auto"/>
        <w:ind w:right="105" w:rightChars="50" w:firstLine="420" w:firstLineChars="200"/>
        <w:jc w:val="left"/>
        <w:rPr>
          <w:rFonts w:ascii="宋体" w:hAnsi="宋体"/>
          <w:kern w:val="0"/>
          <w:szCs w:val="21"/>
        </w:rPr>
      </w:pPr>
      <w:r>
        <w:rPr>
          <w:rFonts w:hint="eastAsia" w:ascii="宋体" w:hAnsi="宋体"/>
          <w:kern w:val="0"/>
          <w:szCs w:val="21"/>
        </w:rPr>
        <w:t>对发包人索赔的处理如下：</w:t>
      </w:r>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（1）承包人收到发包人提交的索赔报告后，应及时审查索赔报告的内容、查验发包人证明材料；</w:t>
      </w:r>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rPr>
        <w:t>（3）承包人接受索赔处理结果的，发包人可从应支付给承包人的合同价款中扣除赔付的金额或延长缺陷责任期；发包人不接受索赔处理结果的，按第20条〔争议解决〕约定处理。</w:t>
      </w:r>
    </w:p>
    <w:p>
      <w:pPr>
        <w:pStyle w:val="8"/>
        <w:spacing w:before="0" w:after="0" w:line="360" w:lineRule="auto"/>
        <w:ind w:firstLine="422" w:firstLineChars="200"/>
        <w:rPr>
          <w:sz w:val="21"/>
          <w:szCs w:val="21"/>
        </w:rPr>
      </w:pPr>
      <w:bookmarkStart w:id="1206" w:name="_Toc532377418"/>
      <w:bookmarkStart w:id="1207" w:name="_Toc532375679"/>
      <w:bookmarkStart w:id="1208" w:name="_Hlk528928420"/>
      <w:r>
        <w:rPr>
          <w:rFonts w:hint="eastAsia"/>
          <w:sz w:val="21"/>
          <w:szCs w:val="21"/>
        </w:rPr>
        <w:t>19.5 提出索赔的期限</w:t>
      </w:r>
      <w:bookmarkEnd w:id="1206"/>
      <w:bookmarkEnd w:id="1207"/>
    </w:p>
    <w:p>
      <w:pPr>
        <w:autoSpaceDE w:val="0"/>
        <w:autoSpaceDN w:val="0"/>
        <w:spacing w:line="360" w:lineRule="auto"/>
        <w:ind w:right="105" w:rightChars="50" w:firstLine="420" w:firstLineChars="200"/>
        <w:jc w:val="left"/>
        <w:rPr>
          <w:rFonts w:ascii="宋体" w:hAnsi="宋体"/>
          <w:szCs w:val="21"/>
        </w:rPr>
      </w:pPr>
      <w:bookmarkStart w:id="1209" w:name="_Hlk524298376"/>
      <w:r>
        <w:rPr>
          <w:rFonts w:hint="eastAsia" w:ascii="宋体" w:hAnsi="宋体"/>
          <w:szCs w:val="21"/>
        </w:rPr>
        <w:t>任一索赔事件发生后28天内，承包人/发包人未向对方发出索赔意向通知书的，视为其已放弃索赔权，无权再就该索赔事项提出任何索赔。</w:t>
      </w:r>
    </w:p>
    <w:bookmarkEnd w:id="1195"/>
    <w:bookmarkEnd w:id="1196"/>
    <w:bookmarkEnd w:id="1197"/>
    <w:bookmarkEnd w:id="1198"/>
    <w:bookmarkEnd w:id="1208"/>
    <w:bookmarkEnd w:id="1209"/>
    <w:p>
      <w:pPr>
        <w:pStyle w:val="7"/>
        <w:spacing w:before="120" w:beforeLines="50" w:after="120" w:afterLines="50" w:line="360" w:lineRule="auto"/>
        <w:rPr>
          <w:sz w:val="21"/>
          <w:szCs w:val="21"/>
        </w:rPr>
      </w:pPr>
      <w:bookmarkStart w:id="1210" w:name="_Toc532377419"/>
      <w:bookmarkStart w:id="1211" w:name="_Toc532375680"/>
      <w:bookmarkStart w:id="1212" w:name="_Toc351203651"/>
      <w:r>
        <w:rPr>
          <w:rFonts w:hint="eastAsia"/>
          <w:sz w:val="21"/>
          <w:szCs w:val="21"/>
        </w:rPr>
        <w:t>20. 争议解决</w:t>
      </w:r>
      <w:bookmarkEnd w:id="1210"/>
      <w:bookmarkEnd w:id="1211"/>
      <w:bookmarkEnd w:id="1212"/>
    </w:p>
    <w:p>
      <w:pPr>
        <w:pStyle w:val="8"/>
        <w:spacing w:before="0" w:after="0" w:line="360" w:lineRule="auto"/>
        <w:ind w:firstLine="422" w:firstLineChars="200"/>
        <w:rPr>
          <w:sz w:val="21"/>
          <w:szCs w:val="21"/>
        </w:rPr>
      </w:pPr>
      <w:bookmarkStart w:id="1213" w:name="_Toc532377420"/>
      <w:bookmarkStart w:id="1214" w:name="_Toc532375681"/>
      <w:r>
        <w:rPr>
          <w:rFonts w:hint="eastAsia"/>
          <w:sz w:val="21"/>
          <w:szCs w:val="21"/>
        </w:rPr>
        <w:t>20.3 争议评审</w:t>
      </w:r>
      <w:bookmarkEnd w:id="1213"/>
      <w:bookmarkEnd w:id="1214"/>
    </w:p>
    <w:p>
      <w:pPr>
        <w:spacing w:line="360" w:lineRule="auto"/>
        <w:ind w:right="105" w:rightChars="50" w:firstLine="420" w:firstLineChars="200"/>
        <w:jc w:val="left"/>
        <w:rPr>
          <w:rFonts w:ascii="宋体" w:hAnsi="宋体"/>
          <w:szCs w:val="21"/>
        </w:rPr>
      </w:pPr>
      <w:r>
        <w:rPr>
          <w:rFonts w:hint="eastAsia" w:ascii="宋体" w:hAnsi="宋体"/>
          <w:szCs w:val="21"/>
        </w:rPr>
        <w:t>合同当事人是否同意将工程争议提交争议评审小组决定：</w:t>
      </w:r>
      <w:r>
        <w:rPr>
          <w:rFonts w:hint="eastAsia" w:ascii="宋体" w:hAnsi="宋体"/>
          <w:szCs w:val="21"/>
          <w:u w:val="single"/>
        </w:rPr>
        <w:t xml:space="preserve"> 不同意       </w:t>
      </w:r>
      <w:r>
        <w:rPr>
          <w:rFonts w:hint="eastAsia" w:ascii="宋体" w:hAnsi="宋体"/>
          <w:szCs w:val="21"/>
        </w:rPr>
        <w:t>。</w:t>
      </w:r>
    </w:p>
    <w:p>
      <w:pPr>
        <w:pStyle w:val="8"/>
        <w:spacing w:before="0" w:after="0" w:line="360" w:lineRule="auto"/>
        <w:ind w:firstLine="422" w:firstLineChars="200"/>
        <w:rPr>
          <w:sz w:val="21"/>
          <w:szCs w:val="21"/>
        </w:rPr>
      </w:pPr>
      <w:bookmarkStart w:id="1215" w:name="_Toc532377421"/>
      <w:bookmarkStart w:id="1216" w:name="_Toc532375682"/>
      <w:r>
        <w:rPr>
          <w:rFonts w:hint="eastAsia"/>
          <w:sz w:val="21"/>
          <w:szCs w:val="21"/>
        </w:rPr>
        <w:t>20.4 仲裁或诉讼</w:t>
      </w:r>
      <w:bookmarkEnd w:id="1215"/>
      <w:bookmarkEnd w:id="1216"/>
    </w:p>
    <w:p>
      <w:pPr>
        <w:spacing w:line="360" w:lineRule="auto"/>
        <w:ind w:right="105" w:rightChars="50" w:firstLine="420" w:firstLineChars="200"/>
        <w:jc w:val="left"/>
        <w:rPr>
          <w:rFonts w:ascii="宋体" w:hAnsi="宋体"/>
          <w:szCs w:val="21"/>
        </w:rPr>
      </w:pPr>
      <w:r>
        <w:rPr>
          <w:rFonts w:hint="eastAsia" w:ascii="宋体" w:hAnsi="宋体"/>
          <w:szCs w:val="21"/>
        </w:rPr>
        <w:t>因合同及合同有关事项发生的争议，按下列第</w:t>
      </w:r>
      <w:r>
        <w:rPr>
          <w:rFonts w:hint="eastAsia" w:ascii="宋体" w:hAnsi="宋体"/>
          <w:szCs w:val="21"/>
          <w:u w:val="single"/>
        </w:rPr>
        <w:t>2</w:t>
      </w:r>
      <w:r>
        <w:rPr>
          <w:rFonts w:hint="eastAsia" w:ascii="宋体" w:hAnsi="宋体"/>
          <w:szCs w:val="21"/>
        </w:rPr>
        <w:t>种方式解决：</w:t>
      </w:r>
    </w:p>
    <w:p>
      <w:pPr>
        <w:spacing w:line="360" w:lineRule="auto"/>
        <w:ind w:right="105" w:rightChars="50" w:firstLine="420" w:firstLineChars="200"/>
        <w:jc w:val="left"/>
        <w:rPr>
          <w:rFonts w:ascii="宋体" w:hAnsi="宋体"/>
          <w:szCs w:val="21"/>
        </w:rPr>
      </w:pPr>
      <w:r>
        <w:rPr>
          <w:rFonts w:ascii="宋体" w:hAnsi="宋体"/>
          <w:szCs w:val="21"/>
        </w:rPr>
        <w:t>（1）向</w:t>
      </w:r>
      <w:r>
        <w:rPr>
          <w:rFonts w:ascii="宋体" w:hAnsi="宋体"/>
          <w:szCs w:val="21"/>
          <w:u w:val="single"/>
        </w:rPr>
        <w:t xml:space="preserve">                     </w:t>
      </w:r>
      <w:r>
        <w:rPr>
          <w:rFonts w:ascii="宋体" w:hAnsi="宋体"/>
          <w:szCs w:val="21"/>
        </w:rPr>
        <w:t>仲裁委员会申请仲裁；</w:t>
      </w:r>
    </w:p>
    <w:p>
      <w:pPr>
        <w:spacing w:line="360" w:lineRule="auto"/>
        <w:ind w:right="105" w:rightChars="50" w:firstLine="420" w:firstLineChars="200"/>
        <w:jc w:val="left"/>
        <w:rPr>
          <w:rFonts w:ascii="宋体" w:hAnsi="宋体"/>
          <w:szCs w:val="21"/>
        </w:rPr>
      </w:pPr>
      <w:r>
        <w:rPr>
          <w:rFonts w:ascii="宋体" w:hAnsi="宋体"/>
          <w:szCs w:val="21"/>
        </w:rPr>
        <w:t>（2）向</w:t>
      </w:r>
      <w:r>
        <w:rPr>
          <w:rFonts w:hint="eastAsia" w:ascii="宋体" w:hAnsi="宋体"/>
          <w:szCs w:val="21"/>
          <w:u w:val="single"/>
        </w:rPr>
        <w:t>铜梁区</w:t>
      </w:r>
      <w:r>
        <w:rPr>
          <w:rFonts w:ascii="宋体" w:hAnsi="宋体"/>
          <w:szCs w:val="21"/>
        </w:rPr>
        <w:t>人民法院起诉。</w:t>
      </w:r>
    </w:p>
    <w:p>
      <w:pPr>
        <w:pStyle w:val="7"/>
        <w:spacing w:before="120" w:beforeLines="50" w:after="120" w:afterLines="50" w:line="360" w:lineRule="auto"/>
        <w:rPr>
          <w:sz w:val="21"/>
          <w:szCs w:val="21"/>
        </w:rPr>
      </w:pPr>
      <w:bookmarkStart w:id="1217" w:name="_Toc532375683"/>
      <w:bookmarkStart w:id="1218" w:name="_Toc532377422"/>
      <w:r>
        <w:rPr>
          <w:rFonts w:hint="eastAsia"/>
          <w:sz w:val="21"/>
          <w:szCs w:val="21"/>
        </w:rPr>
        <w:t>21. 补充条款</w:t>
      </w:r>
      <w:bookmarkEnd w:id="1217"/>
      <w:bookmarkEnd w:id="1218"/>
    </w:p>
    <w:p>
      <w:pPr>
        <w:pStyle w:val="8"/>
        <w:spacing w:before="0" w:after="0" w:line="360" w:lineRule="auto"/>
        <w:ind w:firstLine="422" w:firstLineChars="200"/>
        <w:rPr>
          <w:sz w:val="21"/>
          <w:szCs w:val="21"/>
        </w:rPr>
      </w:pPr>
      <w:bookmarkStart w:id="1219" w:name="_Toc532375684"/>
      <w:bookmarkStart w:id="1220" w:name="_Toc532377423"/>
      <w:r>
        <w:rPr>
          <w:rFonts w:hint="eastAsia"/>
          <w:sz w:val="21"/>
          <w:szCs w:val="21"/>
        </w:rPr>
        <w:t>21.1 退出机制</w:t>
      </w:r>
      <w:bookmarkEnd w:id="1219"/>
      <w:bookmarkEnd w:id="1220"/>
    </w:p>
    <w:p>
      <w:pPr>
        <w:spacing w:line="360" w:lineRule="auto"/>
        <w:ind w:right="105" w:rightChars="50" w:firstLine="420" w:firstLineChars="200"/>
        <w:jc w:val="left"/>
        <w:rPr>
          <w:rFonts w:ascii="宋体" w:hAnsi="宋体"/>
          <w:szCs w:val="21"/>
        </w:rPr>
      </w:pPr>
      <w:r>
        <w:rPr>
          <w:rFonts w:hint="eastAsia" w:ascii="宋体" w:hAnsi="宋体"/>
          <w:szCs w:val="21"/>
        </w:rPr>
        <w:t>21.1.1有下列情形之一的，发包人有权解除合同，亦有权兑付履约担保，并对承包人做清退出场处理</w:t>
      </w:r>
      <w:r>
        <w:rPr>
          <w:rFonts w:hint="eastAsia" w:ascii="宋体" w:hAnsi="宋体"/>
          <w:kern w:val="0"/>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（1）因承包人原因造成较大及以上等级生产安全事故或工程质量事故的；</w:t>
      </w:r>
    </w:p>
    <w:p>
      <w:pPr>
        <w:spacing w:line="360" w:lineRule="auto"/>
        <w:ind w:right="105" w:rightChars="50" w:firstLine="420" w:firstLineChars="200"/>
        <w:jc w:val="left"/>
        <w:rPr>
          <w:rFonts w:ascii="宋体" w:hAnsi="宋体"/>
          <w:kern w:val="0"/>
          <w:szCs w:val="21"/>
        </w:rPr>
      </w:pPr>
      <w:r>
        <w:rPr>
          <w:rFonts w:hint="eastAsia" w:ascii="宋体" w:hAnsi="宋体"/>
          <w:kern w:val="0"/>
          <w:szCs w:val="21"/>
        </w:rPr>
        <w:t>（2）因承包人债权债务纠纷或其他纠纷导致工程无法正常施工的。</w:t>
      </w:r>
    </w:p>
    <w:p>
      <w:pPr>
        <w:spacing w:line="360" w:lineRule="auto"/>
        <w:ind w:right="105" w:rightChars="50" w:firstLine="420" w:firstLineChars="200"/>
        <w:jc w:val="left"/>
        <w:rPr>
          <w:rFonts w:ascii="宋体" w:hAnsi="宋体"/>
          <w:szCs w:val="21"/>
        </w:rPr>
      </w:pPr>
      <w:r>
        <w:rPr>
          <w:rFonts w:hint="eastAsia" w:ascii="宋体" w:hAnsi="宋体"/>
          <w:kern w:val="0"/>
          <w:szCs w:val="21"/>
        </w:rPr>
        <w:t>（3）</w:t>
      </w:r>
      <w:r>
        <w:rPr>
          <w:rFonts w:hint="eastAsia" w:ascii="宋体" w:hAnsi="宋体"/>
          <w:kern w:val="0"/>
          <w:szCs w:val="21"/>
          <w:u w:val="single"/>
        </w:rPr>
        <w:t xml:space="preserve">        </w:t>
      </w:r>
      <w:r>
        <w:rPr>
          <w:rFonts w:hint="eastAsia" w:ascii="宋体" w:hAnsi="宋体"/>
          <w:kern w:val="0"/>
          <w:szCs w:val="21"/>
        </w:rPr>
        <w:t>。</w:t>
      </w:r>
    </w:p>
    <w:p>
      <w:pPr>
        <w:pStyle w:val="2"/>
        <w:spacing w:after="0" w:line="360" w:lineRule="auto"/>
        <w:ind w:firstLine="420" w:firstLineChars="200"/>
        <w:rPr>
          <w:rFonts w:ascii="宋体" w:hAnsi="宋体"/>
          <w:szCs w:val="21"/>
        </w:rPr>
      </w:pPr>
      <w:r>
        <w:rPr>
          <w:rFonts w:hint="eastAsia" w:ascii="宋体" w:hAnsi="宋体"/>
          <w:szCs w:val="21"/>
        </w:rPr>
        <w:t>21.1.2有下列情形之一的，承包人有权解除合同，并按16.1.4约定执行：</w:t>
      </w:r>
    </w:p>
    <w:p>
      <w:pPr>
        <w:pStyle w:val="2"/>
        <w:spacing w:after="0" w:line="360" w:lineRule="auto"/>
        <w:ind w:right="105" w:rightChars="50" w:firstLine="420" w:firstLineChars="200"/>
        <w:jc w:val="left"/>
        <w:rPr>
          <w:rFonts w:ascii="宋体" w:hAnsi="宋体"/>
          <w:szCs w:val="21"/>
        </w:rPr>
      </w:pPr>
      <w:r>
        <w:rPr>
          <w:rFonts w:hint="eastAsia" w:ascii="宋体" w:hAnsi="宋体"/>
          <w:szCs w:val="21"/>
        </w:rPr>
        <w:t>（1）因发包人征地、拆迁、补偿、审批手续等原因致使本工程延期开工超过90天的。</w:t>
      </w:r>
    </w:p>
    <w:p>
      <w:pPr>
        <w:spacing w:line="360" w:lineRule="auto"/>
        <w:ind w:right="105" w:rightChars="50" w:firstLine="420" w:firstLineChars="200"/>
        <w:jc w:val="left"/>
        <w:rPr>
          <w:rFonts w:ascii="宋体" w:hAnsi="宋体"/>
          <w:szCs w:val="21"/>
        </w:rPr>
      </w:pPr>
      <w:r>
        <w:rPr>
          <w:rFonts w:hint="eastAsia" w:ascii="宋体" w:hAnsi="宋体"/>
          <w:kern w:val="0"/>
          <w:szCs w:val="21"/>
        </w:rPr>
        <w:t>（2）</w:t>
      </w:r>
      <w:r>
        <w:rPr>
          <w:rFonts w:hint="eastAsia" w:ascii="宋体" w:hAnsi="宋体"/>
          <w:kern w:val="0"/>
          <w:szCs w:val="21"/>
          <w:u w:val="single"/>
        </w:rPr>
        <w:t xml:space="preserve">        </w:t>
      </w:r>
      <w:r>
        <w:rPr>
          <w:rFonts w:hint="eastAsia" w:ascii="宋体" w:hAnsi="宋体"/>
          <w:kern w:val="0"/>
          <w:szCs w:val="21"/>
        </w:rPr>
        <w:t>。</w:t>
      </w:r>
    </w:p>
    <w:p>
      <w:pPr>
        <w:pStyle w:val="8"/>
        <w:spacing w:before="0" w:after="0" w:line="360" w:lineRule="auto"/>
        <w:ind w:firstLine="422" w:firstLineChars="200"/>
        <w:rPr>
          <w:sz w:val="21"/>
          <w:szCs w:val="21"/>
        </w:rPr>
      </w:pPr>
      <w:bookmarkStart w:id="1221" w:name="_Toc532375685"/>
      <w:bookmarkStart w:id="1222" w:name="_Toc532377424"/>
      <w:r>
        <w:rPr>
          <w:rFonts w:hint="eastAsia"/>
          <w:sz w:val="21"/>
          <w:szCs w:val="21"/>
        </w:rPr>
        <w:t>21.2智慧工地</w:t>
      </w:r>
      <w:bookmarkEnd w:id="1221"/>
      <w:bookmarkEnd w:id="1222"/>
    </w:p>
    <w:p>
      <w:pPr>
        <w:spacing w:line="360" w:lineRule="auto"/>
        <w:ind w:right="105" w:rightChars="50" w:firstLine="420" w:firstLineChars="200"/>
        <w:jc w:val="left"/>
        <w:rPr>
          <w:rFonts w:ascii="宋体" w:hAnsi="宋体"/>
          <w:szCs w:val="21"/>
        </w:rPr>
      </w:pPr>
      <w:r>
        <w:rPr>
          <w:rFonts w:hint="eastAsia" w:ascii="宋体" w:hAnsi="宋体"/>
          <w:szCs w:val="21"/>
        </w:rPr>
        <w:t>工地建设可参照重庆市城乡建设委员会《关于印发“智慧工地”建设工作方案的通知》（渝建〔2017〕414号）的相关要求建设。</w:t>
      </w:r>
      <w:bookmarkEnd w:id="1163"/>
    </w:p>
    <w:p>
      <w:pPr>
        <w:pStyle w:val="8"/>
        <w:spacing w:before="0" w:after="0" w:line="360" w:lineRule="auto"/>
        <w:ind w:firstLine="422" w:firstLineChars="200"/>
        <w:rPr>
          <w:sz w:val="21"/>
          <w:szCs w:val="21"/>
        </w:rPr>
      </w:pPr>
      <w:r>
        <w:rPr>
          <w:rFonts w:hint="eastAsia"/>
          <w:sz w:val="21"/>
          <w:szCs w:val="21"/>
        </w:rPr>
        <w:t xml:space="preserve">21.3 </w:t>
      </w:r>
      <w:r>
        <w:rPr>
          <w:rFonts w:hint="eastAsia"/>
          <w:sz w:val="21"/>
          <w:szCs w:val="21"/>
          <w:u w:val="single"/>
        </w:rPr>
        <w:t xml:space="preserve">       </w:t>
      </w:r>
    </w:p>
    <w:p>
      <w:pPr>
        <w:pStyle w:val="7"/>
        <w:spacing w:before="120" w:beforeLines="50" w:after="120" w:afterLines="50" w:line="360" w:lineRule="auto"/>
        <w:rPr>
          <w:sz w:val="21"/>
          <w:szCs w:val="21"/>
        </w:rPr>
      </w:pPr>
      <w:bookmarkStart w:id="1223" w:name="baidusnap7"/>
      <w:bookmarkEnd w:id="1223"/>
      <w:bookmarkStart w:id="1224" w:name="baidusnap3"/>
      <w:bookmarkEnd w:id="1224"/>
      <w:bookmarkStart w:id="1225" w:name="_Toc532375686"/>
      <w:bookmarkStart w:id="1226" w:name="_Toc532377425"/>
      <w:bookmarkStart w:id="1227" w:name="_Toc351203652"/>
      <w:r>
        <w:rPr>
          <w:rFonts w:hint="eastAsia"/>
          <w:sz w:val="21"/>
          <w:szCs w:val="21"/>
        </w:rPr>
        <w:t>22. 合同附件</w:t>
      </w:r>
      <w:bookmarkEnd w:id="1225"/>
      <w:bookmarkEnd w:id="1226"/>
    </w:p>
    <w:p>
      <w:pPr>
        <w:spacing w:line="360" w:lineRule="auto"/>
        <w:ind w:right="105" w:rightChars="50" w:firstLine="420" w:firstLineChars="200"/>
        <w:jc w:val="left"/>
        <w:rPr>
          <w:rFonts w:ascii="宋体" w:hAnsi="宋体"/>
          <w:szCs w:val="21"/>
        </w:rPr>
      </w:pPr>
      <w:r>
        <w:rPr>
          <w:rFonts w:hint="eastAsia" w:ascii="宋体" w:hAnsi="宋体"/>
          <w:szCs w:val="21"/>
        </w:rPr>
        <w:t>附件1：工程质量保修书</w:t>
      </w:r>
    </w:p>
    <w:p>
      <w:pPr>
        <w:spacing w:line="360" w:lineRule="auto"/>
        <w:ind w:right="105" w:rightChars="50" w:firstLine="420" w:firstLineChars="200"/>
        <w:jc w:val="left"/>
        <w:rPr>
          <w:rFonts w:ascii="宋体" w:hAnsi="宋体"/>
          <w:szCs w:val="21"/>
        </w:rPr>
      </w:pPr>
      <w:r>
        <w:rPr>
          <w:rFonts w:hint="eastAsia" w:ascii="宋体" w:hAnsi="宋体"/>
          <w:szCs w:val="21"/>
        </w:rPr>
        <w:t>附件2：承包人项目管理机构组成表</w:t>
      </w:r>
    </w:p>
    <w:p>
      <w:pPr>
        <w:spacing w:line="360" w:lineRule="auto"/>
        <w:ind w:right="105" w:rightChars="50" w:firstLine="420" w:firstLineChars="200"/>
        <w:jc w:val="left"/>
        <w:rPr>
          <w:rFonts w:ascii="宋体" w:hAnsi="宋体"/>
          <w:szCs w:val="21"/>
        </w:rPr>
      </w:pPr>
      <w:r>
        <w:rPr>
          <w:rFonts w:hint="eastAsia" w:ascii="宋体" w:hAnsi="宋体"/>
          <w:szCs w:val="21"/>
        </w:rPr>
        <w:t>附件3：履约担保</w:t>
      </w:r>
    </w:p>
    <w:p>
      <w:pPr>
        <w:spacing w:line="360" w:lineRule="auto"/>
        <w:ind w:right="105" w:rightChars="50" w:firstLine="420" w:firstLineChars="200"/>
        <w:jc w:val="left"/>
        <w:rPr>
          <w:rFonts w:ascii="宋体" w:hAnsi="宋体"/>
          <w:szCs w:val="21"/>
        </w:rPr>
      </w:pPr>
      <w:r>
        <w:rPr>
          <w:rFonts w:hint="eastAsia" w:ascii="宋体" w:hAnsi="宋体"/>
          <w:szCs w:val="21"/>
        </w:rPr>
        <w:t>附件4：廉洁从业协议</w:t>
      </w:r>
    </w:p>
    <w:p>
      <w:pPr>
        <w:spacing w:line="360" w:lineRule="auto"/>
        <w:ind w:right="105" w:rightChars="50" w:firstLine="420" w:firstLineChars="200"/>
        <w:jc w:val="left"/>
        <w:rPr>
          <w:rFonts w:ascii="宋体" w:hAnsi="宋体"/>
          <w:szCs w:val="21"/>
        </w:rPr>
      </w:pPr>
      <w:r>
        <w:rPr>
          <w:rFonts w:hint="eastAsia" w:ascii="宋体" w:hAnsi="宋体"/>
          <w:szCs w:val="21"/>
        </w:rPr>
        <w:t>附件5：安全管理协议</w:t>
      </w:r>
    </w:p>
    <w:p>
      <w:pPr>
        <w:spacing w:line="480" w:lineRule="auto"/>
        <w:ind w:firstLine="420" w:firstLineChars="200"/>
        <w:rPr>
          <w:rFonts w:ascii="宋体" w:hAnsi="宋体"/>
          <w:szCs w:val="21"/>
        </w:rPr>
      </w:pPr>
      <w:r>
        <w:rPr>
          <w:rFonts w:hint="eastAsia" w:ascii="宋体" w:hAnsi="宋体"/>
          <w:szCs w:val="21"/>
        </w:rPr>
        <w:t>附件6 保障农民工工资支付协议</w:t>
      </w:r>
    </w:p>
    <w:p>
      <w:pPr>
        <w:adjustRightInd w:val="0"/>
        <w:spacing w:line="360" w:lineRule="auto"/>
        <w:ind w:firstLine="420" w:firstLineChars="200"/>
        <w:rPr>
          <w:rFonts w:ascii="宋体" w:hAnsi="宋体"/>
          <w:snapToGrid w:val="0"/>
          <w:kern w:val="0"/>
          <w:szCs w:val="21"/>
        </w:rPr>
      </w:pPr>
      <w:r>
        <w:rPr>
          <w:rFonts w:ascii="宋体" w:hAnsi="宋体"/>
          <w:snapToGrid w:val="0"/>
          <w:kern w:val="0"/>
          <w:szCs w:val="21"/>
        </w:rPr>
        <w:t>发包人：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（公章）</w:t>
      </w:r>
    </w:p>
    <w:p>
      <w:pPr>
        <w:spacing w:line="360" w:lineRule="auto"/>
        <w:ind w:firstLine="420" w:firstLineChars="20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（签字）</w:t>
      </w:r>
    </w:p>
    <w:p>
      <w:pPr>
        <w:spacing w:line="360" w:lineRule="auto"/>
        <w:ind w:firstLine="420" w:firstLineChars="200"/>
        <w:rPr>
          <w:rFonts w:ascii="宋体" w:hAnsi="宋体"/>
          <w:snapToGrid w:val="0"/>
          <w:kern w:val="0"/>
          <w:szCs w:val="21"/>
        </w:rPr>
      </w:pPr>
      <w:r>
        <w:rPr>
          <w:rFonts w:hint="eastAsia" w:ascii="宋体" w:hAnsi="宋体"/>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zCs w:val="21"/>
        </w:rPr>
      </w:pPr>
      <w:r>
        <w:rPr>
          <w:rFonts w:hint="eastAsia" w:ascii="宋体" w:hAnsi="宋体"/>
          <w:snapToGrid w:val="0"/>
          <w:kern w:val="0"/>
          <w:szCs w:val="21"/>
        </w:rPr>
        <w:t>账    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zCs w:val="21"/>
        </w:rPr>
      </w:pPr>
      <w:r>
        <w:rPr>
          <w:rFonts w:ascii="宋体" w:hAnsi="宋体"/>
          <w:snapToGrid w:val="0"/>
          <w:kern w:val="0"/>
          <w:szCs w:val="21"/>
        </w:rPr>
        <w:t>承包人：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（公章）</w:t>
      </w:r>
    </w:p>
    <w:p>
      <w:pPr>
        <w:spacing w:line="360" w:lineRule="auto"/>
        <w:ind w:firstLine="420" w:firstLineChars="20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（签字）</w:t>
      </w:r>
    </w:p>
    <w:p>
      <w:pPr>
        <w:spacing w:line="360" w:lineRule="auto"/>
        <w:ind w:firstLine="420" w:firstLineChars="200"/>
        <w:rPr>
          <w:rFonts w:ascii="宋体" w:hAnsi="宋体"/>
          <w:snapToGrid w:val="0"/>
          <w:kern w:val="0"/>
          <w:szCs w:val="21"/>
        </w:rPr>
      </w:pPr>
      <w:r>
        <w:rPr>
          <w:rFonts w:hint="eastAsia" w:ascii="宋体" w:hAnsi="宋体"/>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账    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5670" w:firstLineChars="2700"/>
        <w:rPr>
          <w:rFonts w:ascii="宋体" w:hAnsi="宋体"/>
          <w:szCs w:val="21"/>
        </w:rPr>
      </w:pPr>
      <w:r>
        <w:rPr>
          <w:rFonts w:hint="eastAsia" w:ascii="宋体" w:hAnsi="宋体"/>
          <w:snapToGrid w:val="0"/>
          <w:kern w:val="0"/>
          <w:szCs w:val="21"/>
        </w:rPr>
        <w:t>签约时间：</w:t>
      </w:r>
      <w:r>
        <w:rPr>
          <w:rFonts w:hint="eastAsia" w:ascii="宋体" w:hAnsi="宋体"/>
          <w:snapToGrid w:val="0"/>
          <w:kern w:val="0"/>
          <w:szCs w:val="21"/>
          <w:u w:val="single"/>
        </w:rPr>
        <w:t xml:space="preserve">     </w:t>
      </w:r>
      <w:r>
        <w:rPr>
          <w:rFonts w:hint="eastAsia" w:ascii="宋体" w:hAnsi="宋体"/>
          <w:snapToGrid w:val="0"/>
          <w:kern w:val="0"/>
          <w:szCs w:val="21"/>
        </w:rPr>
        <w:t>年</w:t>
      </w:r>
      <w:r>
        <w:rPr>
          <w:rFonts w:hint="eastAsia" w:ascii="宋体" w:hAnsi="宋体"/>
          <w:snapToGrid w:val="0"/>
          <w:kern w:val="0"/>
          <w:szCs w:val="21"/>
          <w:u w:val="single"/>
        </w:rPr>
        <w:t xml:space="preserve">     </w:t>
      </w:r>
      <w:r>
        <w:rPr>
          <w:rFonts w:hint="eastAsia" w:ascii="宋体" w:hAnsi="宋体"/>
          <w:snapToGrid w:val="0"/>
          <w:kern w:val="0"/>
          <w:szCs w:val="21"/>
        </w:rPr>
        <w:t>月</w:t>
      </w:r>
      <w:r>
        <w:rPr>
          <w:rFonts w:hint="eastAsia" w:ascii="宋体" w:hAnsi="宋体"/>
          <w:snapToGrid w:val="0"/>
          <w:kern w:val="0"/>
          <w:szCs w:val="21"/>
          <w:u w:val="single"/>
        </w:rPr>
        <w:t xml:space="preserve">     </w:t>
      </w:r>
      <w:bookmarkEnd w:id="1227"/>
      <w:r>
        <w:rPr>
          <w:rFonts w:hint="eastAsia" w:ascii="宋体" w:hAnsi="宋体"/>
          <w:szCs w:val="21"/>
        </w:rPr>
        <w:br w:type="page"/>
      </w:r>
      <w:r>
        <w:rPr>
          <w:rFonts w:hint="eastAsia" w:ascii="宋体" w:hAnsi="宋体"/>
          <w:szCs w:val="21"/>
        </w:rPr>
        <w:t>附</w:t>
      </w:r>
      <w:bookmarkStart w:id="1228" w:name="_Toc296503226"/>
      <w:bookmarkStart w:id="1229" w:name="_Toc296346727"/>
      <w:bookmarkStart w:id="1230" w:name="_Toc296347225"/>
      <w:bookmarkStart w:id="1231" w:name="_Toc267261693"/>
      <w:bookmarkStart w:id="1232" w:name="_Toc296891266"/>
      <w:bookmarkStart w:id="1233" w:name="_Toc296891054"/>
      <w:bookmarkStart w:id="1234" w:name="_Toc296944565"/>
      <w:r>
        <w:rPr>
          <w:rFonts w:hint="eastAsia" w:ascii="宋体" w:hAnsi="宋体"/>
          <w:szCs w:val="21"/>
        </w:rPr>
        <w:t>件1：</w:t>
      </w:r>
      <w:bookmarkEnd w:id="1228"/>
      <w:bookmarkEnd w:id="1229"/>
      <w:bookmarkEnd w:id="1230"/>
      <w:bookmarkEnd w:id="1231"/>
      <w:bookmarkEnd w:id="1232"/>
      <w:bookmarkEnd w:id="1233"/>
      <w:bookmarkEnd w:id="1234"/>
    </w:p>
    <w:p>
      <w:pPr>
        <w:spacing w:before="120" w:beforeLines="50" w:after="120" w:afterLines="50" w:line="360" w:lineRule="auto"/>
        <w:jc w:val="center"/>
        <w:rPr>
          <w:rFonts w:ascii="宋体" w:hAnsi="宋体"/>
          <w:szCs w:val="21"/>
        </w:rPr>
      </w:pPr>
      <w:r>
        <w:rPr>
          <w:rFonts w:hint="eastAsia" w:ascii="宋体" w:hAnsi="宋体"/>
          <w:szCs w:val="21"/>
        </w:rPr>
        <w:t>工程质量保修书</w:t>
      </w:r>
    </w:p>
    <w:p>
      <w:pPr>
        <w:spacing w:line="360" w:lineRule="auto"/>
        <w:ind w:firstLine="420" w:firstLineChars="200"/>
        <w:rPr>
          <w:rFonts w:ascii="宋体" w:hAnsi="宋体"/>
          <w:szCs w:val="21"/>
          <w:u w:val="single"/>
        </w:rPr>
      </w:pPr>
      <w:r>
        <w:rPr>
          <w:rFonts w:hint="eastAsia" w:ascii="宋体" w:hAnsi="宋体"/>
          <w:szCs w:val="21"/>
        </w:rPr>
        <w:t>发包人（全称）：</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承包人（全称）：</w:t>
      </w:r>
      <w:r>
        <w:rPr>
          <w:rFonts w:hint="eastAsia" w:ascii="宋体" w:hAnsi="宋体"/>
          <w:szCs w:val="21"/>
          <w:u w:val="single"/>
        </w:rPr>
        <w:t xml:space="preserve">                </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发包人和承包人根据《中华人民共和国建筑法》和《建设工程质量管理条例》，经协商一致就</w:t>
      </w:r>
    </w:p>
    <w:p>
      <w:pPr>
        <w:spacing w:line="360" w:lineRule="auto"/>
        <w:rPr>
          <w:rFonts w:ascii="宋体" w:hAnsi="宋体"/>
          <w:szCs w:val="21"/>
        </w:rPr>
      </w:pPr>
      <w:r>
        <w:rPr>
          <w:rFonts w:hint="eastAsia" w:ascii="宋体" w:hAnsi="宋体"/>
          <w:szCs w:val="21"/>
          <w:u w:val="single"/>
        </w:rPr>
        <w:t xml:space="preserve">        </w:t>
      </w:r>
      <w:r>
        <w:rPr>
          <w:rFonts w:hint="eastAsia" w:ascii="宋体" w:hAnsi="宋体"/>
          <w:szCs w:val="21"/>
        </w:rPr>
        <w:t>（工程全称）签订工程质量保修书。</w:t>
      </w:r>
    </w:p>
    <w:p>
      <w:pPr>
        <w:spacing w:line="360" w:lineRule="auto"/>
        <w:ind w:firstLine="420" w:firstLineChars="200"/>
        <w:rPr>
          <w:rFonts w:ascii="宋体" w:hAnsi="宋体"/>
          <w:szCs w:val="21"/>
        </w:rPr>
      </w:pPr>
      <w:bookmarkStart w:id="1235" w:name="_Toc532375687"/>
      <w:r>
        <w:rPr>
          <w:rFonts w:hint="eastAsia" w:ascii="宋体" w:hAnsi="宋体"/>
          <w:szCs w:val="21"/>
        </w:rPr>
        <w:t>一、工程质量保修范围和内容</w:t>
      </w:r>
      <w:bookmarkEnd w:id="1235"/>
    </w:p>
    <w:p>
      <w:pPr>
        <w:spacing w:line="360" w:lineRule="auto"/>
        <w:ind w:firstLine="420" w:firstLineChars="200"/>
        <w:rPr>
          <w:rFonts w:ascii="宋体" w:hAnsi="宋体"/>
          <w:szCs w:val="21"/>
        </w:rPr>
      </w:pPr>
      <w:r>
        <w:rPr>
          <w:rFonts w:hint="eastAsia" w:ascii="宋体" w:hAnsi="宋体"/>
          <w:szCs w:val="21"/>
        </w:rPr>
        <w:t>承包人在质量保修期内，按照有关法律规定和合同约定，承担工程质量保修责任。</w:t>
      </w:r>
    </w:p>
    <w:p>
      <w:pPr>
        <w:spacing w:line="360" w:lineRule="auto"/>
        <w:ind w:firstLine="420" w:firstLineChars="200"/>
        <w:rPr>
          <w:rFonts w:ascii="宋体" w:hAnsi="宋体"/>
          <w:szCs w:val="21"/>
        </w:rPr>
      </w:pPr>
      <w:r>
        <w:rPr>
          <w:rFonts w:hint="eastAsia" w:ascii="宋体" w:hAnsi="宋体"/>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420" w:firstLineChars="200"/>
        <w:rPr>
          <w:rFonts w:ascii="宋体" w:hAnsi="宋体"/>
          <w:szCs w:val="21"/>
        </w:rPr>
      </w:pPr>
      <w:r>
        <w:rPr>
          <w:rFonts w:hint="eastAsia" w:ascii="宋体" w:hAnsi="宋体"/>
          <w:szCs w:val="21"/>
        </w:rPr>
        <w:t>承包人承包范围内容均属质量保修范围内容；其中：</w:t>
      </w:r>
    </w:p>
    <w:p>
      <w:pPr>
        <w:spacing w:line="360" w:lineRule="auto"/>
        <w:ind w:firstLine="420" w:firstLineChars="200"/>
        <w:rPr>
          <w:rFonts w:ascii="宋体" w:hAnsi="宋体"/>
          <w:szCs w:val="21"/>
        </w:rPr>
      </w:pPr>
      <w:r>
        <w:rPr>
          <w:rFonts w:hint="eastAsia" w:ascii="宋体" w:hAnsi="宋体"/>
          <w:szCs w:val="21"/>
        </w:rPr>
        <w:t>1.属于设计原因造成的质量问题，承包人负责维修，不留隐患，费用由发包人承担；</w:t>
      </w:r>
    </w:p>
    <w:p>
      <w:pPr>
        <w:spacing w:line="360" w:lineRule="auto"/>
        <w:ind w:firstLine="420" w:firstLineChars="200"/>
        <w:rPr>
          <w:rFonts w:ascii="宋体" w:hAnsi="宋体"/>
          <w:szCs w:val="21"/>
        </w:rPr>
      </w:pPr>
      <w:r>
        <w:rPr>
          <w:rFonts w:hint="eastAsia" w:ascii="宋体" w:hAnsi="宋体"/>
          <w:szCs w:val="21"/>
        </w:rPr>
        <w:t>2.属于施工造成的质量问题，承包人负责维修，不留隐患；</w:t>
      </w:r>
    </w:p>
    <w:p>
      <w:pPr>
        <w:spacing w:line="360" w:lineRule="auto"/>
        <w:ind w:firstLine="420" w:firstLineChars="200"/>
        <w:rPr>
          <w:rFonts w:ascii="宋体" w:hAnsi="宋体"/>
          <w:szCs w:val="21"/>
        </w:rPr>
      </w:pPr>
      <w:r>
        <w:rPr>
          <w:rFonts w:hint="eastAsia" w:ascii="宋体" w:hAnsi="宋体"/>
          <w:szCs w:val="21"/>
        </w:rPr>
        <w:t>3.属于业主使用不当造成的质量问题，配合抢修，费用由发包人承担。</w:t>
      </w:r>
    </w:p>
    <w:p>
      <w:pPr>
        <w:spacing w:line="360" w:lineRule="auto"/>
        <w:ind w:firstLine="420" w:firstLineChars="200"/>
        <w:rPr>
          <w:rFonts w:ascii="宋体" w:hAnsi="宋体"/>
          <w:szCs w:val="21"/>
        </w:rPr>
      </w:pPr>
      <w:bookmarkStart w:id="1236" w:name="_Toc532375688"/>
      <w:r>
        <w:rPr>
          <w:rFonts w:hint="eastAsia" w:ascii="宋体" w:hAnsi="宋体"/>
          <w:szCs w:val="21"/>
        </w:rPr>
        <w:t>二、质量保修期</w:t>
      </w:r>
      <w:bookmarkEnd w:id="1236"/>
    </w:p>
    <w:p>
      <w:pPr>
        <w:spacing w:line="360" w:lineRule="auto"/>
        <w:ind w:firstLine="420" w:firstLineChars="200"/>
        <w:rPr>
          <w:rFonts w:ascii="宋体" w:hAnsi="宋体"/>
          <w:szCs w:val="21"/>
        </w:rPr>
      </w:pPr>
      <w:r>
        <w:rPr>
          <w:rFonts w:hint="eastAsia" w:ascii="宋体" w:hAnsi="宋体"/>
          <w:szCs w:val="21"/>
        </w:rPr>
        <w:t>根据《建设工程质量管理条例》及有关规定，本工程质量保修期约定如下：</w:t>
      </w:r>
    </w:p>
    <w:p>
      <w:pPr>
        <w:spacing w:line="360" w:lineRule="auto"/>
        <w:ind w:firstLine="420" w:firstLineChars="200"/>
        <w:rPr>
          <w:rFonts w:ascii="宋体" w:hAnsi="宋体"/>
          <w:szCs w:val="21"/>
        </w:rPr>
      </w:pPr>
      <w:r>
        <w:rPr>
          <w:rFonts w:hint="eastAsia" w:ascii="宋体" w:hAnsi="宋体"/>
          <w:szCs w:val="21"/>
        </w:rPr>
        <w:t>1.基础设施工程、房屋建筑的地基基础工程和主体结构工程，为设计文件规定的该工程的合理使用年限；</w:t>
      </w:r>
    </w:p>
    <w:p>
      <w:pPr>
        <w:spacing w:line="360" w:lineRule="auto"/>
        <w:ind w:firstLine="420" w:firstLineChars="200"/>
        <w:rPr>
          <w:rFonts w:ascii="宋体" w:hAnsi="宋体"/>
          <w:szCs w:val="21"/>
        </w:rPr>
      </w:pPr>
      <w:r>
        <w:rPr>
          <w:rFonts w:hint="eastAsia" w:ascii="宋体" w:hAnsi="宋体"/>
          <w:szCs w:val="21"/>
        </w:rPr>
        <w:t>2.屋面防水工程、有防水要求的卫生间、房间和外墙面的防渗漏，为5年；</w:t>
      </w:r>
    </w:p>
    <w:p>
      <w:pPr>
        <w:spacing w:line="360" w:lineRule="auto"/>
        <w:ind w:firstLine="420" w:firstLineChars="200"/>
        <w:rPr>
          <w:rFonts w:ascii="宋体" w:hAnsi="宋体"/>
          <w:szCs w:val="21"/>
        </w:rPr>
      </w:pPr>
      <w:r>
        <w:rPr>
          <w:rFonts w:hint="eastAsia" w:ascii="宋体" w:hAnsi="宋体"/>
          <w:szCs w:val="21"/>
        </w:rPr>
        <w:t>3.供热与供冷系统，为2个采暖期、供冷期；</w:t>
      </w:r>
    </w:p>
    <w:p>
      <w:pPr>
        <w:spacing w:line="360" w:lineRule="auto"/>
        <w:ind w:firstLine="420" w:firstLineChars="200"/>
        <w:rPr>
          <w:rFonts w:ascii="宋体" w:hAnsi="宋体"/>
          <w:szCs w:val="21"/>
        </w:rPr>
      </w:pPr>
      <w:r>
        <w:rPr>
          <w:rFonts w:hint="eastAsia" w:ascii="宋体" w:hAnsi="宋体"/>
          <w:szCs w:val="21"/>
        </w:rPr>
        <w:t>4.电气管线、给排水管道、设备安装和装修工程，为2年；</w:t>
      </w:r>
    </w:p>
    <w:p>
      <w:pPr>
        <w:spacing w:line="360" w:lineRule="auto"/>
        <w:ind w:firstLine="420" w:firstLineChars="200"/>
        <w:rPr>
          <w:rFonts w:ascii="宋体" w:hAnsi="宋体"/>
          <w:szCs w:val="21"/>
        </w:rPr>
      </w:pPr>
      <w:r>
        <w:rPr>
          <w:rFonts w:hint="eastAsia" w:ascii="宋体" w:hAnsi="宋体"/>
          <w:szCs w:val="21"/>
        </w:rPr>
        <w:t>5.其他项目保修期限：2年；</w:t>
      </w:r>
    </w:p>
    <w:p>
      <w:pPr>
        <w:spacing w:line="360" w:lineRule="auto"/>
        <w:ind w:firstLine="420" w:firstLineChars="200"/>
        <w:rPr>
          <w:rFonts w:ascii="宋体" w:hAnsi="宋体"/>
          <w:szCs w:val="21"/>
        </w:rPr>
      </w:pPr>
      <w:r>
        <w:rPr>
          <w:rFonts w:hint="eastAsia" w:ascii="宋体" w:hAnsi="宋体"/>
          <w:szCs w:val="21"/>
        </w:rPr>
        <w:t>建设工程的保修期，自工程竣工验收合格之日起计算。</w:t>
      </w:r>
    </w:p>
    <w:p>
      <w:pPr>
        <w:spacing w:line="360" w:lineRule="auto"/>
        <w:ind w:firstLine="420" w:firstLineChars="200"/>
        <w:rPr>
          <w:rFonts w:ascii="宋体" w:hAnsi="宋体"/>
          <w:szCs w:val="21"/>
        </w:rPr>
      </w:pPr>
      <w:bookmarkStart w:id="1237" w:name="_Toc532375689"/>
      <w:r>
        <w:rPr>
          <w:rFonts w:hint="eastAsia" w:ascii="宋体" w:hAnsi="宋体"/>
          <w:szCs w:val="21"/>
        </w:rPr>
        <w:t>三、质量保修责任</w:t>
      </w:r>
      <w:bookmarkEnd w:id="1237"/>
    </w:p>
    <w:p>
      <w:pPr>
        <w:spacing w:line="360" w:lineRule="auto"/>
        <w:ind w:firstLine="420" w:firstLineChars="200"/>
        <w:rPr>
          <w:rFonts w:ascii="宋体" w:hAnsi="宋体"/>
          <w:szCs w:val="21"/>
        </w:rPr>
      </w:pPr>
      <w:r>
        <w:rPr>
          <w:rFonts w:hint="eastAsia" w:ascii="宋体" w:hAnsi="宋体"/>
          <w:szCs w:val="21"/>
        </w:rPr>
        <w:t>1.属于保修范围、内容的项目，承包人应当在接到保修通知之日起7天内派人保修。承包人不在约定期限内派人保修的，发包人可以委托他人修理。</w:t>
      </w:r>
    </w:p>
    <w:p>
      <w:pPr>
        <w:spacing w:line="360" w:lineRule="auto"/>
        <w:ind w:firstLine="420" w:firstLineChars="200"/>
        <w:rPr>
          <w:rFonts w:ascii="宋体" w:hAnsi="宋体"/>
          <w:szCs w:val="21"/>
        </w:rPr>
      </w:pPr>
      <w:r>
        <w:rPr>
          <w:rFonts w:hint="eastAsia" w:ascii="宋体" w:hAnsi="宋体"/>
          <w:szCs w:val="21"/>
        </w:rPr>
        <w:t>2.发生紧急事故需抢修的，承包人在接到事故通知后，应当立即到达事故现场抢修。</w:t>
      </w:r>
    </w:p>
    <w:p>
      <w:pPr>
        <w:spacing w:line="360" w:lineRule="auto"/>
        <w:ind w:firstLine="420" w:firstLineChars="200"/>
        <w:rPr>
          <w:rFonts w:ascii="宋体" w:hAnsi="宋体"/>
          <w:szCs w:val="21"/>
        </w:rPr>
      </w:pPr>
      <w:r>
        <w:rPr>
          <w:rFonts w:hint="eastAsia" w:ascii="宋体" w:hAnsi="宋体"/>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spacing w:line="360" w:lineRule="auto"/>
        <w:ind w:firstLine="420" w:firstLineChars="200"/>
        <w:rPr>
          <w:rFonts w:ascii="宋体" w:hAnsi="宋体"/>
          <w:szCs w:val="21"/>
        </w:rPr>
      </w:pPr>
      <w:r>
        <w:rPr>
          <w:rFonts w:hint="eastAsia" w:ascii="宋体" w:hAnsi="宋体"/>
          <w:szCs w:val="21"/>
        </w:rPr>
        <w:t>4.质量保修完成后，由发包人组织验收。</w:t>
      </w:r>
    </w:p>
    <w:p>
      <w:pPr>
        <w:spacing w:line="360" w:lineRule="auto"/>
        <w:ind w:firstLine="420" w:firstLineChars="200"/>
        <w:rPr>
          <w:rFonts w:ascii="宋体" w:hAnsi="宋体"/>
          <w:szCs w:val="21"/>
        </w:rPr>
      </w:pPr>
      <w:bookmarkStart w:id="1238" w:name="_Toc532375690"/>
      <w:r>
        <w:rPr>
          <w:rFonts w:hint="eastAsia" w:ascii="宋体" w:hAnsi="宋体"/>
          <w:szCs w:val="21"/>
        </w:rPr>
        <w:t>四、保修费用</w:t>
      </w:r>
      <w:bookmarkEnd w:id="1238"/>
    </w:p>
    <w:p>
      <w:pPr>
        <w:spacing w:line="360" w:lineRule="auto"/>
        <w:ind w:firstLine="420" w:firstLineChars="200"/>
        <w:rPr>
          <w:rFonts w:ascii="宋体" w:hAnsi="宋体"/>
          <w:szCs w:val="21"/>
        </w:rPr>
      </w:pPr>
      <w:r>
        <w:rPr>
          <w:rFonts w:hint="eastAsia" w:ascii="宋体" w:hAnsi="宋体"/>
          <w:szCs w:val="21"/>
        </w:rPr>
        <w:t>保修费用由质量缺陷的责任方承担。</w:t>
      </w:r>
    </w:p>
    <w:p>
      <w:pPr>
        <w:spacing w:line="360" w:lineRule="auto"/>
        <w:ind w:firstLine="420" w:firstLineChars="200"/>
        <w:rPr>
          <w:rFonts w:ascii="宋体" w:hAnsi="宋体"/>
          <w:szCs w:val="21"/>
        </w:rPr>
      </w:pPr>
      <w:bookmarkStart w:id="1239" w:name="_Toc532375691"/>
      <w:r>
        <w:rPr>
          <w:rFonts w:hint="eastAsia" w:ascii="宋体" w:hAnsi="宋体"/>
          <w:szCs w:val="21"/>
        </w:rPr>
        <w:t>五、双方约定的其他工程质量保修事项</w:t>
      </w:r>
    </w:p>
    <w:p>
      <w:pPr>
        <w:spacing w:line="360" w:lineRule="auto"/>
        <w:ind w:firstLine="420" w:firstLineChars="200"/>
        <w:rPr>
          <w:rFonts w:ascii="宋体" w:hAnsi="宋体"/>
          <w:szCs w:val="21"/>
        </w:rPr>
      </w:pPr>
      <w:r>
        <w:rPr>
          <w:rFonts w:hint="eastAsia" w:ascii="宋体" w:hAnsi="宋体"/>
          <w:szCs w:val="21"/>
          <w:u w:val="single"/>
        </w:rPr>
        <w:t>按国家相关法律和规定执行</w:t>
      </w:r>
      <w:r>
        <w:rPr>
          <w:rFonts w:hint="eastAsia" w:ascii="宋体" w:hAnsi="宋体"/>
          <w:szCs w:val="21"/>
        </w:rPr>
        <w:t>。</w:t>
      </w:r>
      <w:bookmarkEnd w:id="1239"/>
    </w:p>
    <w:p>
      <w:pPr>
        <w:spacing w:line="360" w:lineRule="auto"/>
        <w:ind w:firstLine="420" w:firstLineChars="200"/>
        <w:rPr>
          <w:rFonts w:ascii="宋体" w:hAnsi="宋体"/>
          <w:szCs w:val="21"/>
        </w:rPr>
      </w:pPr>
      <w:r>
        <w:rPr>
          <w:rFonts w:hint="eastAsia" w:ascii="宋体" w:hAnsi="宋体"/>
          <w:szCs w:val="21"/>
        </w:rPr>
        <w:t>本工程质量保修书由发包人、承包人在工程竣工验收前共同签署，作为施工合同附件，其有效期限至保修期满。</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pStyle w:val="2"/>
        <w:spacing w:line="360" w:lineRule="auto"/>
        <w:ind w:firstLine="420" w:firstLineChars="200"/>
        <w:rPr>
          <w:rFonts w:ascii="宋体" w:hAnsi="宋体"/>
          <w:szCs w:val="21"/>
        </w:rPr>
      </w:pPr>
    </w:p>
    <w:p>
      <w:pPr>
        <w:spacing w:line="360" w:lineRule="auto"/>
        <w:ind w:firstLine="420" w:firstLineChars="200"/>
        <w:rPr>
          <w:rFonts w:ascii="宋体" w:hAnsi="宋体"/>
          <w:snapToGrid w:val="0"/>
          <w:kern w:val="0"/>
          <w:szCs w:val="21"/>
        </w:rPr>
      </w:pPr>
      <w:r>
        <w:rPr>
          <w:rFonts w:hint="eastAsia" w:ascii="宋体" w:hAnsi="宋体"/>
          <w:snapToGrid w:val="0"/>
          <w:kern w:val="0"/>
          <w:szCs w:val="21"/>
        </w:rPr>
        <w:t>发包人：</w:t>
      </w:r>
      <w:r>
        <w:rPr>
          <w:rFonts w:hint="eastAsia" w:ascii="宋体" w:hAnsi="宋体"/>
          <w:snapToGrid w:val="0"/>
          <w:kern w:val="0"/>
          <w:szCs w:val="21"/>
          <w:u w:val="single"/>
        </w:rPr>
        <w:t xml:space="preserve">                                </w:t>
      </w:r>
      <w:r>
        <w:rPr>
          <w:rFonts w:hint="eastAsia" w:ascii="宋体" w:hAnsi="宋体"/>
          <w:snapToGrid w:val="0"/>
          <w:kern w:val="0"/>
          <w:szCs w:val="21"/>
        </w:rPr>
        <w:t>（盖单位公章）</w:t>
      </w:r>
    </w:p>
    <w:p>
      <w:pPr>
        <w:spacing w:line="360" w:lineRule="auto"/>
        <w:ind w:firstLine="420" w:firstLineChars="200"/>
        <w:rPr>
          <w:rFonts w:ascii="宋体" w:hAnsi="宋体"/>
          <w:snapToGrid w:val="0"/>
          <w:kern w:val="0"/>
          <w:szCs w:val="21"/>
        </w:rPr>
      </w:pPr>
    </w:p>
    <w:p>
      <w:pPr>
        <w:spacing w:line="360" w:lineRule="auto"/>
        <w:ind w:firstLine="420" w:firstLineChars="200"/>
        <w:rPr>
          <w:rFonts w:ascii="宋体" w:hAnsi="宋体"/>
          <w:snapToGrid w:val="0"/>
          <w:kern w:val="0"/>
          <w:szCs w:val="21"/>
        </w:rPr>
      </w:pPr>
    </w:p>
    <w:p>
      <w:pPr>
        <w:spacing w:line="360" w:lineRule="auto"/>
        <w:ind w:firstLine="420" w:firstLineChars="200"/>
        <w:rPr>
          <w:rFonts w:ascii="宋体" w:hAnsi="宋体"/>
          <w:snapToGrid w:val="0"/>
          <w:kern w:val="0"/>
          <w:szCs w:val="21"/>
        </w:rPr>
      </w:pPr>
      <w:r>
        <w:rPr>
          <w:rFonts w:hint="eastAsia" w:ascii="宋体" w:hAnsi="宋体"/>
          <w:snapToGrid w:val="0"/>
          <w:kern w:val="0"/>
          <w:szCs w:val="21"/>
        </w:rPr>
        <w:t>法定代表人或其委托代理人：</w:t>
      </w:r>
      <w:r>
        <w:rPr>
          <w:rFonts w:hint="eastAsia" w:ascii="宋体" w:hAnsi="宋体"/>
          <w:snapToGrid w:val="0"/>
          <w:kern w:val="0"/>
          <w:szCs w:val="21"/>
          <w:u w:val="single"/>
        </w:rPr>
        <w:t xml:space="preserve">                </w:t>
      </w:r>
      <w:r>
        <w:rPr>
          <w:rFonts w:hint="eastAsia" w:ascii="宋体" w:hAnsi="宋体"/>
          <w:snapToGrid w:val="0"/>
          <w:kern w:val="0"/>
          <w:szCs w:val="21"/>
        </w:rPr>
        <w:t>（签字）</w:t>
      </w:r>
    </w:p>
    <w:p>
      <w:pPr>
        <w:spacing w:line="360" w:lineRule="auto"/>
        <w:ind w:firstLine="420" w:firstLineChars="200"/>
        <w:rPr>
          <w:rFonts w:ascii="宋体" w:hAnsi="宋体"/>
          <w:snapToGrid w:val="0"/>
          <w:kern w:val="0"/>
          <w:szCs w:val="21"/>
        </w:rPr>
      </w:pPr>
    </w:p>
    <w:p>
      <w:pPr>
        <w:spacing w:line="360" w:lineRule="auto"/>
        <w:ind w:firstLine="420" w:firstLineChars="200"/>
        <w:rPr>
          <w:rFonts w:ascii="宋体" w:hAnsi="宋体"/>
          <w:snapToGrid w:val="0"/>
          <w:kern w:val="0"/>
          <w:szCs w:val="21"/>
        </w:rPr>
      </w:pPr>
    </w:p>
    <w:p>
      <w:pPr>
        <w:spacing w:line="360" w:lineRule="auto"/>
        <w:ind w:firstLine="420" w:firstLineChars="200"/>
        <w:rPr>
          <w:rFonts w:ascii="宋体" w:hAnsi="宋体"/>
          <w:szCs w:val="21"/>
        </w:rPr>
      </w:pPr>
      <w:r>
        <w:rPr>
          <w:rFonts w:hint="eastAsia" w:ascii="宋体" w:hAnsi="宋体"/>
          <w:snapToGrid w:val="0"/>
          <w:kern w:val="0"/>
          <w:szCs w:val="21"/>
        </w:rPr>
        <w:t>承包人：</w:t>
      </w:r>
      <w:r>
        <w:rPr>
          <w:rFonts w:hint="eastAsia" w:ascii="宋体" w:hAnsi="宋体"/>
          <w:snapToGrid w:val="0"/>
          <w:kern w:val="0"/>
          <w:szCs w:val="21"/>
          <w:u w:val="single"/>
        </w:rPr>
        <w:t xml:space="preserve">                                </w:t>
      </w:r>
      <w:r>
        <w:rPr>
          <w:rFonts w:hint="eastAsia" w:ascii="宋体" w:hAnsi="宋体"/>
          <w:snapToGrid w:val="0"/>
          <w:kern w:val="0"/>
          <w:szCs w:val="21"/>
        </w:rPr>
        <w:t>（盖单位公章）</w:t>
      </w:r>
    </w:p>
    <w:p>
      <w:pPr>
        <w:spacing w:line="360" w:lineRule="auto"/>
        <w:ind w:firstLine="420" w:firstLineChars="200"/>
        <w:rPr>
          <w:rFonts w:ascii="宋体" w:hAnsi="宋体"/>
          <w:snapToGrid w:val="0"/>
          <w:kern w:val="0"/>
          <w:szCs w:val="21"/>
        </w:rPr>
      </w:pPr>
    </w:p>
    <w:p>
      <w:pPr>
        <w:spacing w:line="360" w:lineRule="auto"/>
        <w:ind w:firstLine="420" w:firstLineChars="200"/>
        <w:rPr>
          <w:rFonts w:ascii="宋体" w:hAnsi="宋体"/>
          <w:snapToGrid w:val="0"/>
          <w:kern w:val="0"/>
          <w:szCs w:val="21"/>
        </w:rPr>
      </w:pPr>
    </w:p>
    <w:p>
      <w:pPr>
        <w:spacing w:line="360" w:lineRule="auto"/>
        <w:ind w:firstLine="420" w:firstLineChars="200"/>
        <w:rPr>
          <w:rFonts w:ascii="宋体" w:hAnsi="宋体"/>
          <w:bCs/>
          <w:kern w:val="0"/>
          <w:szCs w:val="21"/>
        </w:rPr>
      </w:pPr>
      <w:r>
        <w:rPr>
          <w:rFonts w:hint="eastAsia" w:ascii="宋体" w:hAnsi="宋体"/>
          <w:snapToGrid w:val="0"/>
          <w:kern w:val="0"/>
          <w:szCs w:val="21"/>
        </w:rPr>
        <w:t>法定代表人或其委托代理人：</w:t>
      </w:r>
      <w:r>
        <w:rPr>
          <w:rFonts w:hint="eastAsia" w:ascii="宋体" w:hAnsi="宋体"/>
          <w:snapToGrid w:val="0"/>
          <w:kern w:val="0"/>
          <w:szCs w:val="21"/>
          <w:u w:val="single"/>
        </w:rPr>
        <w:t xml:space="preserve">                </w:t>
      </w:r>
      <w:r>
        <w:rPr>
          <w:rFonts w:hint="eastAsia" w:ascii="宋体" w:hAnsi="宋体"/>
          <w:snapToGrid w:val="0"/>
          <w:kern w:val="0"/>
          <w:szCs w:val="21"/>
        </w:rPr>
        <w:t>（签字）</w:t>
      </w:r>
    </w:p>
    <w:p>
      <w:pPr>
        <w:spacing w:line="360" w:lineRule="auto"/>
        <w:ind w:firstLine="418" w:firstLineChars="200"/>
        <w:rPr>
          <w:rFonts w:ascii="宋体" w:hAnsi="宋体"/>
          <w:snapToGrid w:val="0"/>
          <w:spacing w:val="1"/>
          <w:w w:val="99"/>
          <w:kern w:val="0"/>
          <w:position w:val="-2"/>
          <w:szCs w:val="21"/>
        </w:rPr>
      </w:pPr>
    </w:p>
    <w:p>
      <w:pPr>
        <w:spacing w:line="360" w:lineRule="auto"/>
        <w:ind w:firstLine="418" w:firstLineChars="200"/>
        <w:rPr>
          <w:rFonts w:ascii="宋体" w:hAnsi="宋体"/>
          <w:snapToGrid w:val="0"/>
          <w:spacing w:val="1"/>
          <w:w w:val="99"/>
          <w:kern w:val="0"/>
          <w:position w:val="-2"/>
          <w:szCs w:val="21"/>
        </w:rPr>
      </w:pPr>
    </w:p>
    <w:p>
      <w:pPr>
        <w:spacing w:line="360" w:lineRule="auto"/>
        <w:ind w:firstLine="420" w:firstLineChars="200"/>
        <w:rPr>
          <w:rFonts w:ascii="宋体" w:hAnsi="宋体"/>
          <w:snapToGrid w:val="0"/>
          <w:kern w:val="0"/>
          <w:szCs w:val="21"/>
        </w:rPr>
      </w:pPr>
      <w:r>
        <w:rPr>
          <w:rFonts w:hint="eastAsia" w:ascii="宋体" w:hAnsi="宋体"/>
          <w:snapToGrid w:val="0"/>
          <w:kern w:val="0"/>
          <w:szCs w:val="21"/>
        </w:rPr>
        <w:t>签约时间：</w:t>
      </w:r>
      <w:r>
        <w:rPr>
          <w:rFonts w:hint="eastAsia" w:ascii="宋体" w:hAnsi="宋体"/>
          <w:snapToGrid w:val="0"/>
          <w:kern w:val="0"/>
          <w:szCs w:val="21"/>
          <w:u w:val="single"/>
        </w:rPr>
        <w:t xml:space="preserve">     </w:t>
      </w:r>
      <w:r>
        <w:rPr>
          <w:rFonts w:hint="eastAsia" w:ascii="宋体" w:hAnsi="宋体"/>
          <w:snapToGrid w:val="0"/>
          <w:kern w:val="0"/>
          <w:szCs w:val="21"/>
        </w:rPr>
        <w:t>年</w:t>
      </w:r>
      <w:r>
        <w:rPr>
          <w:rFonts w:hint="eastAsia" w:ascii="宋体" w:hAnsi="宋体"/>
          <w:snapToGrid w:val="0"/>
          <w:kern w:val="0"/>
          <w:szCs w:val="21"/>
          <w:u w:val="single"/>
        </w:rPr>
        <w:t xml:space="preserve">     </w:t>
      </w:r>
      <w:r>
        <w:rPr>
          <w:rFonts w:hint="eastAsia" w:ascii="宋体" w:hAnsi="宋体"/>
          <w:snapToGrid w:val="0"/>
          <w:kern w:val="0"/>
          <w:szCs w:val="21"/>
        </w:rPr>
        <w:t>月</w:t>
      </w:r>
      <w:r>
        <w:rPr>
          <w:rFonts w:hint="eastAsia" w:ascii="宋体" w:hAnsi="宋体"/>
          <w:snapToGrid w:val="0"/>
          <w:kern w:val="0"/>
          <w:szCs w:val="21"/>
          <w:u w:val="single"/>
        </w:rPr>
        <w:t xml:space="preserve">     </w:t>
      </w:r>
      <w:r>
        <w:rPr>
          <w:rFonts w:hint="eastAsia" w:ascii="宋体" w:hAnsi="宋体"/>
          <w:snapToGrid w:val="0"/>
          <w:kern w:val="0"/>
          <w:szCs w:val="21"/>
        </w:rPr>
        <w:t>日</w:t>
      </w:r>
    </w:p>
    <w:p>
      <w:pPr>
        <w:spacing w:line="480" w:lineRule="auto"/>
        <w:rPr>
          <w:rFonts w:ascii="宋体" w:hAnsi="宋体"/>
          <w:szCs w:val="21"/>
        </w:rPr>
      </w:pPr>
      <w:r>
        <w:rPr>
          <w:rFonts w:hint="eastAsia" w:ascii="宋体" w:hAnsi="宋体"/>
          <w:szCs w:val="21"/>
        </w:rPr>
        <w:br w:type="page"/>
      </w:r>
      <w:r>
        <w:rPr>
          <w:rFonts w:hint="eastAsia" w:ascii="宋体" w:hAnsi="宋体"/>
          <w:szCs w:val="21"/>
        </w:rPr>
        <w:t>附件2：</w:t>
      </w:r>
    </w:p>
    <w:p>
      <w:pPr>
        <w:spacing w:before="120" w:beforeLines="50" w:after="120" w:afterLines="50" w:line="480" w:lineRule="auto"/>
        <w:jc w:val="center"/>
        <w:rPr>
          <w:rFonts w:ascii="宋体" w:hAnsi="宋体"/>
          <w:szCs w:val="21"/>
        </w:rPr>
      </w:pPr>
      <w:r>
        <w:rPr>
          <w:rFonts w:hint="eastAsia" w:ascii="宋体" w:hAnsi="宋体"/>
          <w:szCs w:val="21"/>
        </w:rPr>
        <w:t>承包人项目管理机构组成表</w:t>
      </w:r>
    </w:p>
    <w:tbl>
      <w:tblPr>
        <w:tblStyle w:val="54"/>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r>
              <w:rPr>
                <w:rFonts w:hint="eastAsia" w:ascii="宋体" w:hAnsi="宋体"/>
                <w:szCs w:val="21"/>
              </w:rPr>
              <w:t>名    称</w:t>
            </w:r>
          </w:p>
        </w:tc>
        <w:tc>
          <w:tcPr>
            <w:tcW w:w="1418" w:type="dxa"/>
            <w:vAlign w:val="center"/>
          </w:tcPr>
          <w:p>
            <w:pPr>
              <w:spacing w:line="400" w:lineRule="exact"/>
              <w:jc w:val="center"/>
              <w:rPr>
                <w:rFonts w:ascii="宋体" w:hAnsi="宋体"/>
                <w:szCs w:val="21"/>
              </w:rPr>
            </w:pPr>
            <w:r>
              <w:rPr>
                <w:rFonts w:hint="eastAsia" w:ascii="宋体" w:hAnsi="宋体"/>
                <w:szCs w:val="21"/>
              </w:rPr>
              <w:t>姓名</w:t>
            </w:r>
          </w:p>
        </w:tc>
        <w:tc>
          <w:tcPr>
            <w:tcW w:w="1134" w:type="dxa"/>
            <w:vAlign w:val="center"/>
          </w:tcPr>
          <w:p>
            <w:pPr>
              <w:spacing w:line="400" w:lineRule="exact"/>
              <w:jc w:val="center"/>
              <w:rPr>
                <w:rFonts w:ascii="宋体" w:hAnsi="宋体"/>
                <w:szCs w:val="21"/>
              </w:rPr>
            </w:pPr>
            <w:r>
              <w:rPr>
                <w:rFonts w:hint="eastAsia" w:ascii="宋体" w:hAnsi="宋体"/>
                <w:szCs w:val="21"/>
              </w:rPr>
              <w:t>职务</w:t>
            </w:r>
          </w:p>
        </w:tc>
        <w:tc>
          <w:tcPr>
            <w:tcW w:w="1134" w:type="dxa"/>
            <w:vAlign w:val="center"/>
          </w:tcPr>
          <w:p>
            <w:pPr>
              <w:spacing w:line="400" w:lineRule="exact"/>
              <w:jc w:val="center"/>
              <w:rPr>
                <w:rFonts w:ascii="宋体" w:hAnsi="宋体"/>
                <w:szCs w:val="21"/>
              </w:rPr>
            </w:pPr>
            <w:r>
              <w:rPr>
                <w:rFonts w:hint="eastAsia" w:ascii="宋体" w:hAnsi="宋体"/>
                <w:szCs w:val="21"/>
              </w:rPr>
              <w:t>职称</w:t>
            </w:r>
          </w:p>
        </w:tc>
        <w:tc>
          <w:tcPr>
            <w:tcW w:w="4252" w:type="dxa"/>
            <w:vAlign w:val="center"/>
          </w:tcPr>
          <w:p>
            <w:pPr>
              <w:spacing w:line="400" w:lineRule="exact"/>
              <w:jc w:val="center"/>
              <w:rPr>
                <w:rFonts w:ascii="宋体" w:hAnsi="宋体"/>
                <w:szCs w:val="21"/>
              </w:rPr>
            </w:pPr>
            <w:r>
              <w:rPr>
                <w:rFonts w:hint="eastAsia" w:ascii="宋体" w:hAnsi="宋体"/>
                <w:szCs w:val="21"/>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9809" w:type="dxa"/>
            <w:gridSpan w:val="5"/>
            <w:vAlign w:val="center"/>
          </w:tcPr>
          <w:p>
            <w:pPr>
              <w:spacing w:line="400" w:lineRule="exact"/>
              <w:rPr>
                <w:rFonts w:ascii="宋体" w:hAnsi="宋体"/>
                <w:szCs w:val="21"/>
              </w:rPr>
            </w:pPr>
            <w:r>
              <w:rPr>
                <w:rFonts w:hint="eastAsia" w:ascii="宋体" w:hAnsi="宋体"/>
                <w:szCs w:val="21"/>
              </w:rPr>
              <w:t>一、总部人员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r>
              <w:rPr>
                <w:rFonts w:hint="eastAsia" w:ascii="宋体" w:hAnsi="宋体"/>
                <w:szCs w:val="21"/>
              </w:rPr>
              <w:t>项目主管</w:t>
            </w: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r>
              <w:rPr>
                <w:rFonts w:hint="eastAsia" w:ascii="宋体" w:hAnsi="宋体"/>
                <w:szCs w:val="21"/>
              </w:rPr>
              <w:t>其他人员</w:t>
            </w: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pPr>
              <w:spacing w:line="400" w:lineRule="exact"/>
              <w:rPr>
                <w:rFonts w:ascii="宋体" w:hAnsi="宋体"/>
                <w:szCs w:val="21"/>
              </w:rPr>
            </w:pPr>
            <w:r>
              <w:rPr>
                <w:rFonts w:hint="eastAsia" w:ascii="宋体" w:hAnsi="宋体"/>
                <w:szCs w:val="21"/>
              </w:rPr>
              <w:t>二、现场人员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r>
              <w:rPr>
                <w:rFonts w:hint="eastAsia" w:ascii="宋体" w:hAnsi="宋体"/>
                <w:szCs w:val="21"/>
              </w:rPr>
              <w:t>项目经理</w:t>
            </w: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r>
              <w:rPr>
                <w:rFonts w:hint="eastAsia" w:ascii="宋体" w:hAnsi="宋体"/>
                <w:szCs w:val="21"/>
              </w:rPr>
              <w:t>项目副经理</w:t>
            </w: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r>
              <w:rPr>
                <w:rFonts w:hint="eastAsia" w:ascii="宋体" w:hAnsi="宋体"/>
                <w:szCs w:val="21"/>
              </w:rPr>
              <w:t>技术负责人</w:t>
            </w: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r>
              <w:rPr>
                <w:rFonts w:hint="eastAsia" w:ascii="宋体" w:hAnsi="宋体"/>
                <w:szCs w:val="21"/>
              </w:rPr>
              <w:t>造价管理</w:t>
            </w: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r>
              <w:rPr>
                <w:rFonts w:hint="eastAsia" w:ascii="宋体" w:hAnsi="宋体"/>
                <w:szCs w:val="21"/>
              </w:rPr>
              <w:t>质量管理</w:t>
            </w: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r>
              <w:rPr>
                <w:rFonts w:hint="eastAsia" w:ascii="宋体" w:hAnsi="宋体"/>
                <w:szCs w:val="21"/>
              </w:rPr>
              <w:t>材料管理</w:t>
            </w: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r>
              <w:rPr>
                <w:rFonts w:hint="eastAsia" w:ascii="宋体" w:hAnsi="宋体"/>
                <w:szCs w:val="21"/>
              </w:rPr>
              <w:t>计划管理</w:t>
            </w: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r>
              <w:rPr>
                <w:rFonts w:hint="eastAsia" w:ascii="宋体" w:hAnsi="宋体"/>
                <w:szCs w:val="21"/>
              </w:rPr>
              <w:t>安全管理</w:t>
            </w: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pPr>
              <w:spacing w:line="400" w:lineRule="exact"/>
              <w:jc w:val="center"/>
              <w:rPr>
                <w:rFonts w:ascii="宋体" w:hAnsi="宋体"/>
                <w:szCs w:val="21"/>
              </w:rPr>
            </w:pPr>
            <w:r>
              <w:rPr>
                <w:rFonts w:hint="eastAsia" w:ascii="宋体" w:hAnsi="宋体"/>
                <w:szCs w:val="21"/>
              </w:rPr>
              <w:t>其他人员</w:t>
            </w: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871" w:type="dxa"/>
            <w:vMerge w:val="continue"/>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Merge w:val="continue"/>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bl>
    <w:p>
      <w:pPr>
        <w:spacing w:line="480" w:lineRule="auto"/>
        <w:rPr>
          <w:rFonts w:ascii="宋体" w:hAnsi="宋体"/>
          <w:szCs w:val="21"/>
        </w:rPr>
      </w:pPr>
      <w:r>
        <w:rPr>
          <w:rFonts w:hint="eastAsia" w:ascii="宋体" w:hAnsi="宋体"/>
          <w:szCs w:val="21"/>
        </w:rPr>
        <w:br w:type="page"/>
      </w:r>
      <w:bookmarkStart w:id="1240" w:name="_Toc267261701"/>
      <w:r>
        <w:rPr>
          <w:rFonts w:hint="eastAsia" w:ascii="宋体" w:hAnsi="宋体"/>
          <w:szCs w:val="21"/>
        </w:rPr>
        <w:t>附</w:t>
      </w:r>
      <w:bookmarkStart w:id="1241" w:name="_Toc296346732"/>
      <w:bookmarkStart w:id="1242" w:name="_Toc296347230"/>
      <w:bookmarkStart w:id="1243" w:name="_Toc296944570"/>
      <w:bookmarkStart w:id="1244" w:name="_Toc296891271"/>
      <w:bookmarkStart w:id="1245" w:name="_Toc296891059"/>
      <w:bookmarkStart w:id="1246" w:name="_Toc296503231"/>
      <w:r>
        <w:rPr>
          <w:rFonts w:hint="eastAsia" w:ascii="宋体" w:hAnsi="宋体"/>
          <w:szCs w:val="21"/>
        </w:rPr>
        <w:t>件3：</w:t>
      </w:r>
    </w:p>
    <w:bookmarkEnd w:id="1240"/>
    <w:bookmarkEnd w:id="1241"/>
    <w:bookmarkEnd w:id="1242"/>
    <w:bookmarkEnd w:id="1243"/>
    <w:bookmarkEnd w:id="1244"/>
    <w:bookmarkEnd w:id="1245"/>
    <w:bookmarkEnd w:id="1246"/>
    <w:p>
      <w:pPr>
        <w:spacing w:before="120" w:beforeLines="50" w:after="120" w:afterLines="50" w:line="480" w:lineRule="auto"/>
        <w:jc w:val="center"/>
        <w:rPr>
          <w:rFonts w:ascii="宋体" w:hAnsi="宋体"/>
          <w:szCs w:val="21"/>
        </w:rPr>
      </w:pPr>
      <w:r>
        <w:rPr>
          <w:rFonts w:hint="eastAsia" w:ascii="宋体" w:hAnsi="宋体"/>
          <w:szCs w:val="21"/>
        </w:rPr>
        <w:t>履约担保</w:t>
      </w:r>
    </w:p>
    <w:p>
      <w:pPr>
        <w:spacing w:line="360" w:lineRule="auto"/>
        <w:ind w:firstLine="420" w:firstLineChars="200"/>
        <w:rPr>
          <w:rFonts w:ascii="宋体" w:hAnsi="宋体"/>
          <w:szCs w:val="21"/>
        </w:rPr>
      </w:pP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（发包人名称）：</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鉴于</w:t>
      </w:r>
      <w:r>
        <w:rPr>
          <w:rFonts w:hint="eastAsia" w:ascii="宋体" w:hAnsi="宋体"/>
          <w:szCs w:val="21"/>
          <w:u w:val="single"/>
        </w:rPr>
        <w:t xml:space="preserve">                </w:t>
      </w:r>
      <w:r>
        <w:rPr>
          <w:rFonts w:hint="eastAsia" w:ascii="宋体" w:hAnsi="宋体"/>
          <w:szCs w:val="21"/>
        </w:rPr>
        <w:t>（发包人名称，以下简称“发包人”）与</w:t>
      </w:r>
    </w:p>
    <w:p>
      <w:pPr>
        <w:spacing w:line="360" w:lineRule="auto"/>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（承包人名称）（以下称“承包人”）于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日就</w:t>
      </w:r>
      <w:r>
        <w:rPr>
          <w:rFonts w:hint="eastAsia" w:ascii="宋体" w:hAnsi="宋体"/>
          <w:szCs w:val="21"/>
          <w:u w:val="single"/>
        </w:rPr>
        <w:t xml:space="preserve">                         </w:t>
      </w:r>
      <w:r>
        <w:rPr>
          <w:rFonts w:hint="eastAsia" w:ascii="宋体" w:hAnsi="宋体"/>
          <w:szCs w:val="21"/>
        </w:rPr>
        <w:t>（工程名称）施工及有关事项协商一致共同签订《建设工程施工合同》。我方愿意无条件地、不可撤销地就承包人履行与你方签订的合同，向你方提供连带责任担保。</w:t>
      </w:r>
    </w:p>
    <w:p>
      <w:pPr>
        <w:spacing w:line="360" w:lineRule="auto"/>
        <w:ind w:firstLine="420" w:firstLineChars="200"/>
        <w:rPr>
          <w:rFonts w:ascii="宋体" w:hAnsi="宋体"/>
          <w:szCs w:val="21"/>
        </w:rPr>
      </w:pPr>
      <w:r>
        <w:rPr>
          <w:rFonts w:hint="eastAsia" w:ascii="宋体" w:hAnsi="宋体"/>
          <w:szCs w:val="21"/>
        </w:rPr>
        <w:t>1. 担保金额人民币（大写）</w:t>
      </w:r>
      <w:r>
        <w:rPr>
          <w:rFonts w:hint="eastAsia" w:ascii="宋体" w:hAnsi="宋体"/>
          <w:szCs w:val="21"/>
          <w:u w:val="single"/>
        </w:rPr>
        <w:t xml:space="preserve">        </w:t>
      </w:r>
      <w:r>
        <w:rPr>
          <w:rFonts w:hint="eastAsia" w:ascii="宋体" w:hAnsi="宋体"/>
          <w:szCs w:val="21"/>
        </w:rPr>
        <w:t>元（</w:t>
      </w:r>
      <w:r>
        <w:rPr>
          <w:rFonts w:hint="eastAsia" w:ascii="宋体" w:hAnsi="宋体" w:cs="宋体"/>
          <w:szCs w:val="21"/>
        </w:rPr>
        <w:t>¥</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2. 担保有效期自你方与承包人签订的合同生效之日起至你方签发或应签发工程接收证书之日止。</w:t>
      </w:r>
    </w:p>
    <w:p>
      <w:pPr>
        <w:spacing w:line="360" w:lineRule="auto"/>
        <w:ind w:firstLine="420" w:firstLineChars="200"/>
        <w:rPr>
          <w:rFonts w:ascii="宋体" w:hAnsi="宋体"/>
          <w:szCs w:val="21"/>
        </w:rPr>
      </w:pPr>
      <w:r>
        <w:rPr>
          <w:rFonts w:hint="eastAsia" w:ascii="宋体" w:hAnsi="宋体"/>
          <w:szCs w:val="21"/>
        </w:rPr>
        <w:t>3. 在本担保有效期内，因承包人违反合同约定的义务给你方造成经济损失时，我方在收到你方以书面形式提出的在担保金额内的赔偿要求后，在7天内无条件支付。</w:t>
      </w:r>
    </w:p>
    <w:p>
      <w:pPr>
        <w:spacing w:line="360" w:lineRule="auto"/>
        <w:ind w:firstLine="420" w:firstLineChars="200"/>
        <w:rPr>
          <w:rFonts w:ascii="宋体" w:hAnsi="宋体"/>
          <w:szCs w:val="21"/>
        </w:rPr>
      </w:pPr>
      <w:r>
        <w:rPr>
          <w:rFonts w:hint="eastAsia" w:ascii="宋体" w:hAnsi="宋体"/>
          <w:szCs w:val="21"/>
        </w:rPr>
        <w:t>4. 你方和承包人按合同约定变更合同时，我方承担本担保规定的义务不变。</w:t>
      </w:r>
    </w:p>
    <w:p>
      <w:pPr>
        <w:spacing w:line="360" w:lineRule="auto"/>
        <w:ind w:firstLine="420" w:firstLineChars="200"/>
        <w:rPr>
          <w:rFonts w:ascii="宋体" w:hAnsi="宋体"/>
          <w:szCs w:val="21"/>
        </w:rPr>
      </w:pPr>
      <w:r>
        <w:rPr>
          <w:rFonts w:hint="eastAsia" w:ascii="宋体" w:hAnsi="宋体"/>
          <w:szCs w:val="21"/>
        </w:rPr>
        <w:t>5. 因本保函发生的纠纷，可由双方协商解决，协商不成的，按下列第</w:t>
      </w:r>
      <w:r>
        <w:rPr>
          <w:rFonts w:hint="eastAsia" w:ascii="宋体" w:hAnsi="宋体"/>
          <w:szCs w:val="21"/>
          <w:u w:val="single"/>
        </w:rPr>
        <w:t xml:space="preserve">    </w:t>
      </w:r>
      <w:r>
        <w:rPr>
          <w:rFonts w:hint="eastAsia" w:ascii="宋体" w:hAnsi="宋体"/>
          <w:szCs w:val="21"/>
        </w:rPr>
        <w:t>种方式解决：</w:t>
      </w:r>
    </w:p>
    <w:p>
      <w:pPr>
        <w:spacing w:line="360" w:lineRule="auto"/>
        <w:ind w:firstLine="420" w:firstLineChars="200"/>
        <w:rPr>
          <w:rFonts w:ascii="宋体" w:hAnsi="宋体"/>
          <w:szCs w:val="21"/>
        </w:rPr>
      </w:pPr>
      <w:r>
        <w:rPr>
          <w:rFonts w:hint="eastAsia" w:ascii="宋体" w:hAnsi="宋体"/>
          <w:szCs w:val="21"/>
        </w:rPr>
        <w:t>（1）向</w:t>
      </w:r>
      <w:r>
        <w:rPr>
          <w:rFonts w:hint="eastAsia" w:ascii="宋体" w:hAnsi="宋体"/>
          <w:szCs w:val="21"/>
          <w:u w:val="single"/>
        </w:rPr>
        <w:t xml:space="preserve">                     </w:t>
      </w:r>
      <w:r>
        <w:rPr>
          <w:rFonts w:hint="eastAsia" w:ascii="宋体" w:hAnsi="宋体"/>
          <w:szCs w:val="21"/>
        </w:rPr>
        <w:t>仲裁委员会申请仲裁；</w:t>
      </w:r>
    </w:p>
    <w:p>
      <w:pPr>
        <w:spacing w:line="360" w:lineRule="auto"/>
        <w:ind w:firstLine="420" w:firstLineChars="200"/>
        <w:rPr>
          <w:rFonts w:ascii="宋体" w:hAnsi="宋体"/>
          <w:szCs w:val="21"/>
        </w:rPr>
      </w:pPr>
      <w:r>
        <w:rPr>
          <w:rFonts w:hint="eastAsia" w:ascii="宋体" w:hAnsi="宋体"/>
          <w:szCs w:val="21"/>
        </w:rPr>
        <w:t>（2）向</w:t>
      </w:r>
      <w:r>
        <w:rPr>
          <w:rFonts w:hint="eastAsia" w:ascii="宋体" w:hAnsi="宋体"/>
          <w:szCs w:val="21"/>
          <w:u w:val="single"/>
        </w:rPr>
        <w:t xml:space="preserve">                     </w:t>
      </w:r>
      <w:r>
        <w:rPr>
          <w:rFonts w:hint="eastAsia" w:ascii="宋体" w:hAnsi="宋体"/>
          <w:szCs w:val="21"/>
        </w:rPr>
        <w:t>人民法院起诉。</w:t>
      </w:r>
    </w:p>
    <w:p>
      <w:pPr>
        <w:spacing w:line="360" w:lineRule="auto"/>
        <w:ind w:firstLine="420" w:firstLineChars="200"/>
        <w:rPr>
          <w:rFonts w:ascii="宋体" w:hAnsi="宋体"/>
          <w:szCs w:val="21"/>
        </w:rPr>
      </w:pPr>
      <w:r>
        <w:rPr>
          <w:rFonts w:hint="eastAsia" w:ascii="宋体" w:hAnsi="宋体"/>
          <w:szCs w:val="21"/>
        </w:rPr>
        <w:t>6. 本保函自我方法定代表人（或其委托代理人）签字并加盖公章之日起生效。</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担 保 人：</w:t>
      </w:r>
      <w:r>
        <w:rPr>
          <w:rFonts w:hint="eastAsia" w:ascii="宋体" w:hAnsi="宋体"/>
          <w:szCs w:val="21"/>
          <w:u w:val="single"/>
        </w:rPr>
        <w:t xml:space="preserve">                           </w:t>
      </w:r>
      <w:r>
        <w:rPr>
          <w:rFonts w:hint="eastAsia" w:ascii="宋体" w:hAnsi="宋体"/>
          <w:szCs w:val="21"/>
        </w:rPr>
        <w:t>（盖单位章）</w:t>
      </w:r>
    </w:p>
    <w:p>
      <w:pPr>
        <w:spacing w:line="360" w:lineRule="auto"/>
        <w:ind w:firstLine="420" w:firstLineChars="200"/>
        <w:rPr>
          <w:rFonts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（签字）</w:t>
      </w:r>
    </w:p>
    <w:p>
      <w:pPr>
        <w:spacing w:line="360" w:lineRule="auto"/>
        <w:ind w:firstLine="420" w:firstLineChars="200"/>
        <w:rPr>
          <w:rFonts w:ascii="宋体" w:hAnsi="宋体"/>
          <w:szCs w:val="21"/>
        </w:rPr>
      </w:pPr>
      <w:r>
        <w:rPr>
          <w:rFonts w:hint="eastAsia" w:ascii="宋体" w:hAnsi="宋体"/>
          <w:szCs w:val="21"/>
        </w:rPr>
        <w:t>地    址：</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邮政编码：</w:t>
      </w:r>
      <w:r>
        <w:rPr>
          <w:rFonts w:hint="eastAsia" w:ascii="宋体" w:hAnsi="宋体"/>
          <w:szCs w:val="21"/>
          <w:u w:val="single"/>
        </w:rPr>
        <w:t xml:space="preserve">                                      </w:t>
      </w:r>
    </w:p>
    <w:p>
      <w:pPr>
        <w:spacing w:line="360" w:lineRule="auto"/>
        <w:ind w:firstLine="420" w:firstLineChars="200"/>
        <w:rPr>
          <w:rFonts w:ascii="宋体" w:hAnsi="宋体"/>
          <w:szCs w:val="21"/>
          <w:u w:val="single"/>
        </w:rPr>
      </w:pPr>
      <w:r>
        <w:rPr>
          <w:rFonts w:hint="eastAsia" w:ascii="宋体" w:hAnsi="宋体"/>
          <w:szCs w:val="21"/>
        </w:rPr>
        <w:t>电    话：</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传    真：</w:t>
      </w:r>
      <w:r>
        <w:rPr>
          <w:rFonts w:hint="eastAsia" w:ascii="宋体" w:hAnsi="宋体"/>
          <w:szCs w:val="21"/>
          <w:u w:val="single"/>
        </w:rPr>
        <w:t xml:space="preserve">                                      </w:t>
      </w:r>
    </w:p>
    <w:p>
      <w:pPr>
        <w:spacing w:line="360" w:lineRule="auto"/>
        <w:ind w:firstLine="420" w:firstLineChars="200"/>
        <w:rPr>
          <w:rFonts w:ascii="宋体" w:hAnsi="宋体"/>
          <w:szCs w:val="21"/>
          <w:u w:val="single"/>
        </w:rPr>
      </w:pPr>
    </w:p>
    <w:p>
      <w:pPr>
        <w:spacing w:line="360" w:lineRule="auto"/>
        <w:ind w:firstLine="420" w:firstLineChars="200"/>
        <w:jc w:val="right"/>
        <w:rPr>
          <w:rFonts w:ascii="宋体" w:hAnsi="宋体"/>
          <w:szCs w:val="21"/>
          <w:u w:val="single"/>
        </w:rPr>
      </w:pPr>
    </w:p>
    <w:p>
      <w:pPr>
        <w:spacing w:line="360" w:lineRule="auto"/>
        <w:ind w:firstLine="420" w:firstLineChars="200"/>
        <w:jc w:val="right"/>
        <w:rPr>
          <w:rFonts w:ascii="宋体" w:hAnsi="宋体"/>
          <w:szCs w:val="21"/>
          <w:u w:val="single"/>
        </w:rPr>
      </w:pPr>
    </w:p>
    <w:p>
      <w:pPr>
        <w:spacing w:line="360" w:lineRule="auto"/>
        <w:ind w:firstLine="420" w:firstLineChars="200"/>
        <w:jc w:val="right"/>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ind w:firstLine="420" w:firstLineChars="200"/>
        <w:jc w:val="right"/>
        <w:rPr>
          <w:rFonts w:ascii="宋体" w:hAnsi="宋体"/>
          <w:szCs w:val="21"/>
        </w:rPr>
      </w:pPr>
      <w:r>
        <w:rPr>
          <w:rFonts w:ascii="宋体" w:hAnsi="宋体"/>
          <w:szCs w:val="21"/>
        </w:rPr>
        <w:br w:type="page"/>
      </w:r>
    </w:p>
    <w:p>
      <w:pPr>
        <w:spacing w:line="480" w:lineRule="auto"/>
        <w:rPr>
          <w:rFonts w:ascii="宋体" w:hAnsi="宋体"/>
          <w:szCs w:val="21"/>
        </w:rPr>
      </w:pPr>
      <w:r>
        <w:rPr>
          <w:rFonts w:hint="eastAsia" w:ascii="宋体" w:hAnsi="宋体"/>
          <w:szCs w:val="21"/>
        </w:rPr>
        <w:t>附件4：</w:t>
      </w:r>
    </w:p>
    <w:p>
      <w:pPr>
        <w:spacing w:before="120" w:beforeLines="50" w:after="120" w:afterLines="50" w:line="480" w:lineRule="auto"/>
        <w:jc w:val="center"/>
        <w:rPr>
          <w:rFonts w:ascii="宋体" w:hAnsi="宋体"/>
          <w:szCs w:val="21"/>
        </w:rPr>
      </w:pPr>
      <w:r>
        <w:rPr>
          <w:rFonts w:hint="eastAsia" w:ascii="宋体" w:hAnsi="宋体"/>
          <w:szCs w:val="21"/>
        </w:rPr>
        <w:t>廉洁从业协议</w:t>
      </w:r>
    </w:p>
    <w:p>
      <w:pPr>
        <w:spacing w:line="360" w:lineRule="auto"/>
        <w:ind w:firstLine="420" w:firstLineChars="200"/>
        <w:rPr>
          <w:rFonts w:ascii="宋体" w:hAnsi="宋体"/>
          <w:szCs w:val="21"/>
        </w:rPr>
      </w:pPr>
      <w:r>
        <w:rPr>
          <w:rFonts w:hint="eastAsia" w:ascii="宋体" w:hAnsi="宋体"/>
          <w:szCs w:val="21"/>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合同。</w:t>
      </w:r>
    </w:p>
    <w:p>
      <w:pPr>
        <w:spacing w:line="360" w:lineRule="auto"/>
        <w:ind w:firstLine="420" w:firstLineChars="200"/>
        <w:rPr>
          <w:rFonts w:ascii="宋体" w:hAnsi="宋体"/>
          <w:szCs w:val="21"/>
        </w:rPr>
      </w:pPr>
      <w:r>
        <w:rPr>
          <w:rFonts w:hint="eastAsia" w:ascii="宋体" w:hAnsi="宋体"/>
          <w:szCs w:val="21"/>
        </w:rPr>
        <w:t xml:space="preserve"> 1. 发包人承包人的权利和义务</w:t>
      </w:r>
    </w:p>
    <w:p>
      <w:pPr>
        <w:spacing w:line="360" w:lineRule="auto"/>
        <w:ind w:firstLine="420" w:firstLineChars="200"/>
        <w:rPr>
          <w:rFonts w:ascii="宋体" w:hAnsi="宋体"/>
          <w:szCs w:val="21"/>
        </w:rPr>
      </w:pPr>
      <w:r>
        <w:rPr>
          <w:rFonts w:hint="eastAsia" w:ascii="宋体" w:hAnsi="宋体"/>
          <w:szCs w:val="21"/>
        </w:rPr>
        <w:t>（1）严格遵守党的政策规定和国家有关法律法规及相关部门的有关规定。</w:t>
      </w:r>
    </w:p>
    <w:p>
      <w:pPr>
        <w:spacing w:line="360" w:lineRule="auto"/>
        <w:ind w:firstLine="420" w:firstLineChars="200"/>
        <w:rPr>
          <w:rFonts w:ascii="宋体" w:hAnsi="宋体"/>
          <w:szCs w:val="21"/>
        </w:rPr>
      </w:pPr>
      <w:r>
        <w:rPr>
          <w:rFonts w:hint="eastAsia" w:ascii="宋体" w:hAnsi="宋体"/>
          <w:szCs w:val="21"/>
        </w:rPr>
        <w:t>（2）严格执行 工程的合同文件，自觉按合同办事。</w:t>
      </w:r>
    </w:p>
    <w:p>
      <w:pPr>
        <w:spacing w:line="360" w:lineRule="auto"/>
        <w:ind w:firstLine="420" w:firstLineChars="200"/>
        <w:rPr>
          <w:rFonts w:ascii="宋体" w:hAnsi="宋体"/>
          <w:szCs w:val="21"/>
        </w:rPr>
      </w:pPr>
      <w:r>
        <w:rPr>
          <w:rFonts w:hint="eastAsia" w:ascii="宋体" w:hAnsi="宋体"/>
          <w:szCs w:val="21"/>
        </w:rPr>
        <w:t>（3）双方的业务活动坚持公开、公正、诚信、透明的原则（法律认定的商业秘密和合同文件另有规定除外），不得损害国家和集体利益，违反工程建设管理规章制度。</w:t>
      </w:r>
    </w:p>
    <w:p>
      <w:pPr>
        <w:spacing w:line="360" w:lineRule="auto"/>
        <w:ind w:firstLine="420" w:firstLineChars="200"/>
        <w:rPr>
          <w:rFonts w:ascii="宋体" w:hAnsi="宋体"/>
          <w:szCs w:val="21"/>
        </w:rPr>
      </w:pPr>
      <w:r>
        <w:rPr>
          <w:rFonts w:hint="eastAsia" w:ascii="宋体" w:hAnsi="宋体"/>
          <w:szCs w:val="21"/>
        </w:rPr>
        <w:t>（4）建立健全廉政制度，开展廉政教育，设立廉政告示牌，公布举报电话，监督并认真查处违法违纪行为。</w:t>
      </w:r>
    </w:p>
    <w:p>
      <w:pPr>
        <w:spacing w:line="360" w:lineRule="auto"/>
        <w:ind w:firstLine="420" w:firstLineChars="200"/>
        <w:rPr>
          <w:rFonts w:ascii="宋体" w:hAnsi="宋体"/>
          <w:szCs w:val="21"/>
        </w:rPr>
      </w:pPr>
      <w:r>
        <w:rPr>
          <w:rFonts w:hint="eastAsia" w:ascii="宋体" w:hAnsi="宋体"/>
          <w:szCs w:val="21"/>
        </w:rPr>
        <w:t>（5）发现对方在业务活动中有违反廉政规定的行为，有及时提醒对方纠正的权利和义务。</w:t>
      </w:r>
    </w:p>
    <w:p>
      <w:pPr>
        <w:spacing w:line="360" w:lineRule="auto"/>
        <w:ind w:firstLine="420" w:firstLineChars="200"/>
        <w:rPr>
          <w:rFonts w:ascii="宋体" w:hAnsi="宋体"/>
          <w:szCs w:val="21"/>
        </w:rPr>
      </w:pPr>
      <w:r>
        <w:rPr>
          <w:rFonts w:hint="eastAsia" w:ascii="宋体" w:hAnsi="宋体"/>
          <w:szCs w:val="21"/>
        </w:rPr>
        <w:t>（6）发现对方严重违反协议义务条款的行为，有向其上级有关部门举报、建议给予处理并要求告知处理结果的权利。</w:t>
      </w:r>
    </w:p>
    <w:p>
      <w:pPr>
        <w:spacing w:line="360" w:lineRule="auto"/>
        <w:ind w:firstLine="420" w:firstLineChars="200"/>
        <w:rPr>
          <w:rFonts w:ascii="宋体" w:hAnsi="宋体"/>
          <w:szCs w:val="21"/>
        </w:rPr>
      </w:pPr>
      <w:r>
        <w:rPr>
          <w:rFonts w:hint="eastAsia" w:ascii="宋体" w:hAnsi="宋体"/>
          <w:szCs w:val="21"/>
        </w:rPr>
        <w:t>2. 发包人的义务</w:t>
      </w:r>
    </w:p>
    <w:p>
      <w:pPr>
        <w:spacing w:line="360" w:lineRule="auto"/>
        <w:ind w:firstLine="420" w:firstLineChars="200"/>
        <w:rPr>
          <w:rFonts w:ascii="宋体" w:hAnsi="宋体"/>
          <w:szCs w:val="21"/>
        </w:rPr>
      </w:pPr>
      <w:r>
        <w:rPr>
          <w:rFonts w:hint="eastAsia" w:ascii="宋体" w:hAnsi="宋体"/>
          <w:szCs w:val="21"/>
        </w:rPr>
        <w:t>（1）发包人及其工作人员不得索要或接受承包人的礼金、有价证券和贵重物品，不得在承包人报销任何应由发包人或发包人工作人员个人支付的费用等。</w:t>
      </w:r>
    </w:p>
    <w:p>
      <w:pPr>
        <w:spacing w:line="360" w:lineRule="auto"/>
        <w:ind w:firstLine="420" w:firstLineChars="200"/>
        <w:rPr>
          <w:rFonts w:ascii="宋体" w:hAnsi="宋体"/>
          <w:szCs w:val="21"/>
        </w:rPr>
      </w:pPr>
      <w:r>
        <w:rPr>
          <w:rFonts w:hint="eastAsia" w:ascii="宋体" w:hAnsi="宋体"/>
          <w:szCs w:val="21"/>
        </w:rPr>
        <w:t>（2）发包人工作人员不得参加承包人安排的超标准宴请和娱乐活动；不得接受承包人提供的通讯工具、交通工具和高档办公用品等。</w:t>
      </w:r>
    </w:p>
    <w:p>
      <w:pPr>
        <w:spacing w:line="360" w:lineRule="auto"/>
        <w:ind w:firstLine="420" w:firstLineChars="200"/>
        <w:rPr>
          <w:rFonts w:ascii="宋体" w:hAnsi="宋体"/>
          <w:szCs w:val="21"/>
        </w:rPr>
      </w:pPr>
      <w:r>
        <w:rPr>
          <w:rFonts w:hint="eastAsia" w:ascii="宋体" w:hAnsi="宋体"/>
          <w:szCs w:val="21"/>
        </w:rPr>
        <w:t>（3）发包人及其工作人员不得要求或者接受承包人为其住房装修、婚丧嫁娶活动、配偶子女的工作安排以及出国出境、旅游等提供方便等。</w:t>
      </w:r>
    </w:p>
    <w:p>
      <w:pPr>
        <w:spacing w:line="360" w:lineRule="auto"/>
        <w:ind w:firstLine="420" w:firstLineChars="200"/>
        <w:rPr>
          <w:rFonts w:ascii="宋体" w:hAnsi="宋体"/>
          <w:szCs w:val="21"/>
        </w:rPr>
      </w:pPr>
      <w:r>
        <w:rPr>
          <w:rFonts w:hint="eastAsia" w:ascii="宋体" w:hAnsi="宋体"/>
          <w:szCs w:val="21"/>
        </w:rPr>
        <w:t>（4）发包人工作人员及其配偶、子女不得从事与发包人工程有关的材料设备供应、工程分包、劳务等经济活动等。</w:t>
      </w:r>
    </w:p>
    <w:p>
      <w:pPr>
        <w:spacing w:line="360" w:lineRule="auto"/>
        <w:ind w:firstLine="420" w:firstLineChars="200"/>
        <w:rPr>
          <w:rFonts w:ascii="宋体" w:hAnsi="宋体"/>
          <w:szCs w:val="21"/>
        </w:rPr>
      </w:pPr>
      <w:r>
        <w:rPr>
          <w:rFonts w:hint="eastAsia" w:ascii="宋体" w:hAnsi="宋体"/>
          <w:szCs w:val="21"/>
        </w:rPr>
        <w:t>（5）发包人及其工作人员不得以任何理由向承包人推荐分包单位或推销材料，不得要求承包人购买合同规定外的材料和设备。</w:t>
      </w:r>
    </w:p>
    <w:p>
      <w:pPr>
        <w:spacing w:line="360" w:lineRule="auto"/>
        <w:ind w:firstLine="420" w:firstLineChars="200"/>
        <w:rPr>
          <w:rFonts w:ascii="宋体" w:hAnsi="宋体"/>
          <w:szCs w:val="21"/>
        </w:rPr>
      </w:pPr>
      <w:r>
        <w:rPr>
          <w:rFonts w:hint="eastAsia" w:ascii="宋体" w:hAnsi="宋体"/>
          <w:szCs w:val="21"/>
        </w:rPr>
        <w:t>（6）发包人工作人员要秉公办事，不准营私舞弊，不准利用职权从事各种个人有偿中介活动和安排个人施工队伍。</w:t>
      </w:r>
    </w:p>
    <w:p>
      <w:pPr>
        <w:spacing w:line="360" w:lineRule="auto"/>
        <w:ind w:firstLine="420" w:firstLineChars="200"/>
        <w:rPr>
          <w:rFonts w:ascii="宋体" w:hAnsi="宋体"/>
          <w:szCs w:val="21"/>
        </w:rPr>
      </w:pPr>
      <w:r>
        <w:rPr>
          <w:rFonts w:hint="eastAsia" w:ascii="宋体" w:hAnsi="宋体"/>
          <w:szCs w:val="21"/>
        </w:rPr>
        <w:t>3. 承包人义务</w:t>
      </w:r>
    </w:p>
    <w:p>
      <w:pPr>
        <w:spacing w:line="360" w:lineRule="auto"/>
        <w:ind w:firstLine="420" w:firstLineChars="200"/>
        <w:rPr>
          <w:rFonts w:ascii="宋体" w:hAnsi="宋体"/>
          <w:szCs w:val="21"/>
        </w:rPr>
      </w:pPr>
      <w:r>
        <w:rPr>
          <w:rFonts w:hint="eastAsia" w:ascii="宋体" w:hAnsi="宋体"/>
          <w:szCs w:val="21"/>
        </w:rPr>
        <w:t>（1）承包人不得以任何理由向发包人及其工作人员行贿或馈赠礼金、有价证券、贵重礼品。</w:t>
      </w:r>
    </w:p>
    <w:p>
      <w:pPr>
        <w:spacing w:line="360" w:lineRule="auto"/>
        <w:ind w:firstLine="420" w:firstLineChars="200"/>
        <w:rPr>
          <w:rFonts w:ascii="宋体" w:hAnsi="宋体"/>
          <w:szCs w:val="21"/>
        </w:rPr>
      </w:pPr>
      <w:r>
        <w:rPr>
          <w:rFonts w:hint="eastAsia" w:ascii="宋体" w:hAnsi="宋体"/>
          <w:szCs w:val="21"/>
        </w:rPr>
        <w:t>（2）承包人不得以任何名义为发包人及其工作人员报销应由发包人单位或个人支付的任何费用。</w:t>
      </w:r>
    </w:p>
    <w:p>
      <w:pPr>
        <w:spacing w:line="360" w:lineRule="auto"/>
        <w:ind w:firstLine="420" w:firstLineChars="200"/>
        <w:rPr>
          <w:rFonts w:ascii="宋体" w:hAnsi="宋体"/>
          <w:szCs w:val="21"/>
        </w:rPr>
      </w:pPr>
      <w:r>
        <w:rPr>
          <w:rFonts w:hint="eastAsia" w:ascii="宋体" w:hAnsi="宋体"/>
          <w:szCs w:val="21"/>
        </w:rPr>
        <w:t>（3）承包人不得以任何理由安排发包人工作人员参加超标准宴请及娱乐活动。</w:t>
      </w:r>
    </w:p>
    <w:p>
      <w:pPr>
        <w:spacing w:line="360" w:lineRule="auto"/>
        <w:ind w:firstLine="420" w:firstLineChars="200"/>
        <w:rPr>
          <w:rFonts w:ascii="宋体" w:hAnsi="宋体"/>
          <w:szCs w:val="21"/>
        </w:rPr>
      </w:pPr>
      <w:r>
        <w:rPr>
          <w:rFonts w:hint="eastAsia" w:ascii="宋体" w:hAnsi="宋体"/>
          <w:szCs w:val="21"/>
        </w:rPr>
        <w:t>（4）承包人不得为发包人单位和个人购置或提供通讯工具、交通工具和高档办公用品等。</w:t>
      </w:r>
    </w:p>
    <w:p>
      <w:pPr>
        <w:spacing w:line="360" w:lineRule="auto"/>
        <w:ind w:firstLine="420" w:firstLineChars="200"/>
        <w:rPr>
          <w:rFonts w:ascii="宋体" w:hAnsi="宋体"/>
          <w:szCs w:val="21"/>
        </w:rPr>
      </w:pPr>
      <w:r>
        <w:rPr>
          <w:rFonts w:hint="eastAsia" w:ascii="宋体" w:hAnsi="宋体"/>
          <w:szCs w:val="21"/>
        </w:rPr>
        <w:t>4. 违约责任</w:t>
      </w:r>
    </w:p>
    <w:p>
      <w:pPr>
        <w:spacing w:line="360" w:lineRule="auto"/>
        <w:ind w:firstLine="420" w:firstLineChars="200"/>
        <w:rPr>
          <w:rFonts w:ascii="宋体" w:hAnsi="宋体"/>
          <w:szCs w:val="21"/>
        </w:rPr>
      </w:pPr>
      <w:r>
        <w:rPr>
          <w:rFonts w:hint="eastAsia" w:ascii="宋体" w:hAnsi="宋体"/>
          <w:szCs w:val="21"/>
        </w:rPr>
        <w:t>（1）发包人及其工作人员违反合同第1、2条，按管理权限，依据有关规定给予党纪、政纪或组织处理；涉嫌犯罪的，移交司法机关追究刑事责任；给承包人单位造成经济损失的，应予以赔偿。</w:t>
      </w:r>
    </w:p>
    <w:p>
      <w:pPr>
        <w:spacing w:line="360" w:lineRule="auto"/>
        <w:ind w:firstLine="420" w:firstLineChars="200"/>
        <w:rPr>
          <w:rFonts w:ascii="宋体" w:hAnsi="宋体"/>
          <w:szCs w:val="21"/>
        </w:rPr>
      </w:pPr>
      <w:r>
        <w:rPr>
          <w:rFonts w:hint="eastAsia" w:ascii="宋体" w:hAnsi="宋体"/>
          <w:szCs w:val="21"/>
        </w:rPr>
        <w:t>（2）承包人及其工作人员违反合同第1、3条，按管理权限，依据有关规定给予党纪、政纪或组织处理；给发包人单位造成经济损失的，应予以赔偿。</w:t>
      </w:r>
    </w:p>
    <w:p>
      <w:pPr>
        <w:spacing w:line="360" w:lineRule="auto"/>
        <w:ind w:firstLine="420" w:firstLineChars="200"/>
        <w:rPr>
          <w:rFonts w:ascii="宋体" w:hAnsi="宋体"/>
          <w:szCs w:val="21"/>
        </w:rPr>
      </w:pPr>
      <w:r>
        <w:rPr>
          <w:rFonts w:hint="eastAsia" w:ascii="宋体" w:hAnsi="宋体"/>
          <w:szCs w:val="21"/>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pPr>
        <w:spacing w:line="360" w:lineRule="auto"/>
        <w:ind w:firstLine="420" w:firstLineChars="200"/>
        <w:rPr>
          <w:rFonts w:ascii="宋体" w:hAnsi="宋体"/>
          <w:szCs w:val="21"/>
        </w:rPr>
      </w:pPr>
      <w:r>
        <w:rPr>
          <w:rFonts w:hint="eastAsia" w:ascii="宋体" w:hAnsi="宋体"/>
          <w:szCs w:val="21"/>
        </w:rPr>
        <w:t>6. 协议有效期为甲乙双方签署之日起至该工程项目竣工验收后止。</w:t>
      </w:r>
    </w:p>
    <w:p>
      <w:pPr>
        <w:spacing w:line="360" w:lineRule="auto"/>
        <w:ind w:firstLine="420" w:firstLineChars="200"/>
        <w:rPr>
          <w:rFonts w:ascii="宋体" w:hAnsi="宋体"/>
          <w:szCs w:val="21"/>
        </w:rPr>
      </w:pPr>
      <w:r>
        <w:rPr>
          <w:rFonts w:hint="eastAsia" w:ascii="宋体" w:hAnsi="宋体"/>
          <w:szCs w:val="21"/>
        </w:rPr>
        <w:t>7.协议作为 工程施工合同的附件，与工程施工合同具有同等的法律效力，经合同双方签署立即生效。</w:t>
      </w:r>
    </w:p>
    <w:p>
      <w:pPr>
        <w:spacing w:line="360" w:lineRule="auto"/>
        <w:ind w:firstLine="420" w:firstLineChars="200"/>
        <w:rPr>
          <w:rFonts w:ascii="宋体" w:hAnsi="宋体"/>
          <w:szCs w:val="21"/>
        </w:rPr>
      </w:pPr>
      <w:r>
        <w:rPr>
          <w:rFonts w:hint="eastAsia" w:ascii="宋体" w:hAnsi="宋体"/>
          <w:szCs w:val="21"/>
        </w:rPr>
        <w:t>（以下无正文）</w:t>
      </w:r>
    </w:p>
    <w:p>
      <w:pPr>
        <w:spacing w:line="360" w:lineRule="auto"/>
        <w:rPr>
          <w:rFonts w:ascii="宋体" w:hAnsi="宋体"/>
          <w:szCs w:val="21"/>
        </w:rPr>
      </w:pPr>
    </w:p>
    <w:p>
      <w:pPr>
        <w:pStyle w:val="2"/>
        <w:spacing w:line="360" w:lineRule="auto"/>
        <w:rPr>
          <w:rFonts w:ascii="宋体" w:hAnsi="宋体"/>
          <w:szCs w:val="21"/>
        </w:rPr>
      </w:pPr>
    </w:p>
    <w:p>
      <w:pPr>
        <w:pStyle w:val="2"/>
        <w:spacing w:line="360" w:lineRule="auto"/>
        <w:rPr>
          <w:rFonts w:ascii="宋体" w:hAnsi="宋体"/>
          <w:szCs w:val="21"/>
        </w:rPr>
      </w:pPr>
    </w:p>
    <w:p>
      <w:pPr>
        <w:spacing w:line="360" w:lineRule="auto"/>
        <w:rPr>
          <w:rFonts w:ascii="宋体" w:hAnsi="宋体"/>
          <w:szCs w:val="21"/>
        </w:rPr>
      </w:pPr>
      <w:r>
        <w:rPr>
          <w:rFonts w:hint="eastAsia" w:ascii="宋体" w:hAnsi="宋体"/>
          <w:szCs w:val="21"/>
        </w:rPr>
        <w:t>甲     方：                         乙     方：</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 xml:space="preserve">法定代表人                          法定代表人                      </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或其授权的代理人：                  或授权的代理人：</w:t>
      </w:r>
    </w:p>
    <w:p>
      <w:pPr>
        <w:spacing w:line="480" w:lineRule="auto"/>
        <w:rPr>
          <w:rFonts w:ascii="宋体" w:hAnsi="宋体"/>
          <w:szCs w:val="21"/>
        </w:rPr>
      </w:pPr>
      <w:r>
        <w:rPr>
          <w:rFonts w:hint="eastAsia" w:ascii="宋体" w:hAnsi="宋体"/>
          <w:szCs w:val="21"/>
        </w:rPr>
        <w:br w:type="page"/>
      </w:r>
      <w:r>
        <w:rPr>
          <w:rFonts w:hint="eastAsia" w:ascii="宋体" w:hAnsi="宋体"/>
          <w:szCs w:val="21"/>
        </w:rPr>
        <w:t>附件5：安全管理协议</w:t>
      </w:r>
    </w:p>
    <w:p>
      <w:pPr>
        <w:spacing w:before="120" w:beforeLines="50" w:after="120" w:afterLines="50" w:line="480" w:lineRule="auto"/>
        <w:jc w:val="center"/>
        <w:rPr>
          <w:rFonts w:ascii="宋体" w:hAnsi="宋体"/>
          <w:szCs w:val="21"/>
        </w:rPr>
      </w:pPr>
      <w:bookmarkStart w:id="1247" w:name="_Toc239510288"/>
      <w:bookmarkStart w:id="1248" w:name="_Toc435689499"/>
      <w:bookmarkStart w:id="1249" w:name="_Toc435690184"/>
      <w:bookmarkStart w:id="1250" w:name="_Toc448406299"/>
      <w:bookmarkStart w:id="1251" w:name="_Toc247431422"/>
      <w:bookmarkStart w:id="1252" w:name="_Toc336680145"/>
      <w:r>
        <w:rPr>
          <w:rFonts w:hint="eastAsia" w:ascii="宋体" w:hAnsi="宋体"/>
          <w:szCs w:val="21"/>
        </w:rPr>
        <w:t>安全管理协议</w:t>
      </w:r>
      <w:bookmarkEnd w:id="1247"/>
      <w:bookmarkEnd w:id="1248"/>
      <w:bookmarkEnd w:id="1249"/>
      <w:bookmarkEnd w:id="1250"/>
      <w:bookmarkEnd w:id="1251"/>
      <w:bookmarkEnd w:id="1252"/>
    </w:p>
    <w:p>
      <w:pPr>
        <w:spacing w:line="360" w:lineRule="auto"/>
        <w:ind w:firstLine="420" w:firstLineChars="200"/>
        <w:jc w:val="left"/>
        <w:rPr>
          <w:rFonts w:ascii="宋体" w:hAnsi="宋体"/>
          <w:szCs w:val="21"/>
        </w:rPr>
      </w:pPr>
      <w:r>
        <w:rPr>
          <w:rFonts w:hint="eastAsia" w:ascii="宋体" w:hAnsi="宋体"/>
          <w:szCs w:val="21"/>
        </w:rPr>
        <w:t>为了确保实现</w:t>
      </w:r>
      <w:r>
        <w:rPr>
          <w:rFonts w:hint="eastAsia" w:ascii="宋体" w:hAnsi="宋体"/>
          <w:szCs w:val="21"/>
          <w:u w:val="single"/>
        </w:rPr>
        <w:t xml:space="preserve">        </w:t>
      </w:r>
      <w:r>
        <w:rPr>
          <w:rFonts w:hint="eastAsia" w:ascii="宋体" w:hAnsi="宋体"/>
          <w:szCs w:val="21"/>
        </w:rPr>
        <w:t>安全生产目标，进一步明确双方的安全管理责任，加强安全生产管理工作的协调、管理力度，</w:t>
      </w:r>
      <w:r>
        <w:rPr>
          <w:rFonts w:hint="eastAsia" w:ascii="宋体" w:hAnsi="宋体"/>
          <w:szCs w:val="21"/>
          <w:u w:val="single"/>
        </w:rPr>
        <w:t xml:space="preserve">        </w:t>
      </w:r>
      <w:r>
        <w:rPr>
          <w:rFonts w:hint="eastAsia" w:ascii="宋体" w:hAnsi="宋体"/>
          <w:szCs w:val="21"/>
        </w:rPr>
        <w:t>（以下简称“发包人”）与</w:t>
      </w:r>
      <w:r>
        <w:rPr>
          <w:rFonts w:hint="eastAsia" w:ascii="宋体" w:hAnsi="宋体"/>
          <w:szCs w:val="21"/>
          <w:u w:val="single"/>
        </w:rPr>
        <w:t xml:space="preserve">        </w:t>
      </w:r>
      <w:r>
        <w:rPr>
          <w:rFonts w:hint="eastAsia" w:ascii="宋体" w:hAnsi="宋体"/>
          <w:szCs w:val="21"/>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pPr>
        <w:spacing w:line="360" w:lineRule="auto"/>
        <w:ind w:firstLine="420" w:firstLineChars="200"/>
        <w:rPr>
          <w:rFonts w:ascii="宋体" w:hAnsi="宋体"/>
          <w:szCs w:val="21"/>
        </w:rPr>
      </w:pPr>
      <w:bookmarkStart w:id="1253" w:name="_Toc247431423"/>
      <w:bookmarkStart w:id="1254" w:name="_Toc239510289"/>
      <w:bookmarkStart w:id="1255" w:name="_Toc247418263"/>
      <w:bookmarkStart w:id="1256" w:name="_Toc532375700"/>
      <w:r>
        <w:rPr>
          <w:rFonts w:hint="eastAsia" w:ascii="宋体" w:hAnsi="宋体"/>
          <w:szCs w:val="21"/>
        </w:rPr>
        <w:t>一、协议有效期限</w:t>
      </w:r>
      <w:bookmarkEnd w:id="1253"/>
      <w:bookmarkEnd w:id="1254"/>
      <w:bookmarkEnd w:id="1255"/>
      <w:bookmarkEnd w:id="1256"/>
    </w:p>
    <w:p>
      <w:pPr>
        <w:spacing w:line="360" w:lineRule="auto"/>
        <w:ind w:firstLine="420" w:firstLineChars="200"/>
        <w:jc w:val="left"/>
        <w:rPr>
          <w:rFonts w:ascii="宋体" w:hAnsi="宋体"/>
          <w:szCs w:val="21"/>
        </w:rPr>
      </w:pPr>
      <w:r>
        <w:rPr>
          <w:rFonts w:hint="eastAsia" w:ascii="宋体" w:hAnsi="宋体"/>
          <w:szCs w:val="21"/>
        </w:rPr>
        <w:t>本协议中所涉及的安全管理责任自合同签订之日起开始生效，至合同工程全部完工验收且经发包人与承包人签订移交协议生效后之日终止。</w:t>
      </w:r>
    </w:p>
    <w:p>
      <w:pPr>
        <w:spacing w:line="360" w:lineRule="auto"/>
        <w:ind w:firstLine="420" w:firstLineChars="200"/>
        <w:rPr>
          <w:rFonts w:ascii="宋体" w:hAnsi="宋体"/>
          <w:szCs w:val="21"/>
        </w:rPr>
      </w:pPr>
      <w:bookmarkStart w:id="1257" w:name="_Toc532375701"/>
      <w:bookmarkStart w:id="1258" w:name="_Toc239510290"/>
      <w:bookmarkStart w:id="1259" w:name="_Toc247431424"/>
      <w:bookmarkStart w:id="1260" w:name="_Toc247418264"/>
      <w:r>
        <w:rPr>
          <w:rFonts w:hint="eastAsia" w:ascii="宋体" w:hAnsi="宋体"/>
          <w:szCs w:val="21"/>
        </w:rPr>
        <w:t>二、责任目标</w:t>
      </w:r>
      <w:bookmarkEnd w:id="1257"/>
      <w:bookmarkEnd w:id="1258"/>
      <w:bookmarkEnd w:id="1259"/>
      <w:bookmarkEnd w:id="1260"/>
    </w:p>
    <w:p>
      <w:pPr>
        <w:spacing w:line="360" w:lineRule="auto"/>
        <w:ind w:firstLine="420" w:firstLineChars="200"/>
        <w:jc w:val="left"/>
        <w:rPr>
          <w:rFonts w:ascii="宋体" w:hAnsi="宋体"/>
          <w:szCs w:val="21"/>
        </w:rPr>
      </w:pPr>
      <w:r>
        <w:rPr>
          <w:rFonts w:hint="eastAsia" w:ascii="宋体" w:hAnsi="宋体"/>
          <w:szCs w:val="21"/>
        </w:rPr>
        <w:t>（一）承包人承诺承担和履行合同和发包人所规定的安全责任，且满足要求。</w:t>
      </w:r>
    </w:p>
    <w:p>
      <w:pPr>
        <w:spacing w:line="360" w:lineRule="auto"/>
        <w:ind w:firstLine="420" w:firstLineChars="200"/>
        <w:jc w:val="left"/>
        <w:rPr>
          <w:rFonts w:ascii="宋体" w:hAnsi="宋体"/>
          <w:szCs w:val="21"/>
        </w:rPr>
      </w:pPr>
      <w:r>
        <w:rPr>
          <w:rFonts w:hint="eastAsia" w:ascii="宋体" w:hAnsi="宋体"/>
          <w:szCs w:val="21"/>
        </w:rPr>
        <w:t>（二）承包人的安全控制目标是确保本工程在实施过程中：</w:t>
      </w:r>
    </w:p>
    <w:p>
      <w:pPr>
        <w:spacing w:line="360" w:lineRule="auto"/>
        <w:ind w:firstLine="420" w:firstLineChars="200"/>
        <w:jc w:val="left"/>
        <w:rPr>
          <w:rFonts w:ascii="宋体" w:hAnsi="宋体"/>
          <w:szCs w:val="21"/>
        </w:rPr>
      </w:pPr>
      <w:r>
        <w:rPr>
          <w:rFonts w:hint="eastAsia" w:ascii="宋体" w:hAnsi="宋体"/>
          <w:szCs w:val="21"/>
        </w:rPr>
        <w:t>1．不发生人身重伤事故；</w:t>
      </w:r>
    </w:p>
    <w:p>
      <w:pPr>
        <w:spacing w:line="360" w:lineRule="auto"/>
        <w:ind w:firstLine="420" w:firstLineChars="200"/>
        <w:jc w:val="left"/>
        <w:rPr>
          <w:rFonts w:ascii="宋体" w:hAnsi="宋体"/>
          <w:szCs w:val="21"/>
        </w:rPr>
      </w:pPr>
      <w:r>
        <w:rPr>
          <w:rFonts w:hint="eastAsia" w:ascii="宋体" w:hAnsi="宋体"/>
          <w:szCs w:val="21"/>
        </w:rPr>
        <w:t>2．不发生火灾事故；</w:t>
      </w:r>
    </w:p>
    <w:p>
      <w:pPr>
        <w:spacing w:line="360" w:lineRule="auto"/>
        <w:ind w:firstLine="420" w:firstLineChars="200"/>
        <w:jc w:val="left"/>
        <w:rPr>
          <w:rFonts w:ascii="宋体" w:hAnsi="宋体"/>
          <w:szCs w:val="21"/>
        </w:rPr>
      </w:pPr>
      <w:r>
        <w:rPr>
          <w:rFonts w:hint="eastAsia" w:ascii="宋体" w:hAnsi="宋体"/>
          <w:szCs w:val="21"/>
        </w:rPr>
        <w:t>3．不发生负有同等及以上事故责任的造成人身重伤的一般交通事故；</w:t>
      </w:r>
    </w:p>
    <w:p>
      <w:pPr>
        <w:spacing w:line="360" w:lineRule="auto"/>
        <w:ind w:firstLine="420" w:firstLineChars="200"/>
        <w:jc w:val="left"/>
        <w:rPr>
          <w:rFonts w:ascii="宋体" w:hAnsi="宋体"/>
          <w:szCs w:val="21"/>
        </w:rPr>
      </w:pPr>
      <w:r>
        <w:rPr>
          <w:rFonts w:hint="eastAsia" w:ascii="宋体" w:hAnsi="宋体"/>
          <w:szCs w:val="21"/>
        </w:rPr>
        <w:t>4．不发生集体食物中毒事件（同时5人及以上的食物中毒）；</w:t>
      </w:r>
    </w:p>
    <w:p>
      <w:pPr>
        <w:spacing w:line="360" w:lineRule="auto"/>
        <w:ind w:firstLine="420" w:firstLineChars="200"/>
        <w:jc w:val="left"/>
        <w:rPr>
          <w:rFonts w:ascii="宋体" w:hAnsi="宋体"/>
          <w:szCs w:val="21"/>
        </w:rPr>
      </w:pPr>
      <w:r>
        <w:rPr>
          <w:rFonts w:hint="eastAsia" w:ascii="宋体" w:hAnsi="宋体"/>
          <w:szCs w:val="21"/>
        </w:rPr>
        <w:t>5．不发生流行性传染病 （无甲型传染病、其他常见传染病未形成多人同时患病）；</w:t>
      </w:r>
    </w:p>
    <w:p>
      <w:pPr>
        <w:spacing w:line="360" w:lineRule="auto"/>
        <w:ind w:firstLine="420" w:firstLineChars="200"/>
        <w:jc w:val="left"/>
        <w:rPr>
          <w:rFonts w:ascii="宋体" w:hAnsi="宋体"/>
          <w:szCs w:val="21"/>
        </w:rPr>
      </w:pPr>
      <w:r>
        <w:rPr>
          <w:rFonts w:hint="eastAsia" w:ascii="宋体" w:hAnsi="宋体"/>
          <w:szCs w:val="21"/>
        </w:rPr>
        <w:t>6．不发生重大环境污染事件（生活、工业垃圾及其他污染物造成环境污染和大面积水土流失）；</w:t>
      </w:r>
    </w:p>
    <w:p>
      <w:pPr>
        <w:spacing w:line="360" w:lineRule="auto"/>
        <w:ind w:firstLine="420" w:firstLineChars="200"/>
        <w:jc w:val="left"/>
        <w:rPr>
          <w:rFonts w:ascii="宋体" w:hAnsi="宋体"/>
          <w:szCs w:val="21"/>
        </w:rPr>
      </w:pPr>
      <w:r>
        <w:rPr>
          <w:rFonts w:hint="eastAsia" w:ascii="宋体" w:hAnsi="宋体"/>
          <w:szCs w:val="21"/>
        </w:rPr>
        <w:t>7．不发生对施工区附近生产、生活造成重大影响的事件（如造成重大设备损坏、重大财产损失、人员伤害等）；</w:t>
      </w:r>
    </w:p>
    <w:p>
      <w:pPr>
        <w:spacing w:line="360" w:lineRule="auto"/>
        <w:ind w:firstLine="420" w:firstLineChars="200"/>
        <w:jc w:val="left"/>
        <w:rPr>
          <w:rFonts w:ascii="宋体" w:hAnsi="宋体"/>
          <w:szCs w:val="21"/>
        </w:rPr>
      </w:pPr>
      <w:r>
        <w:rPr>
          <w:rFonts w:hint="eastAsia" w:ascii="宋体" w:hAnsi="宋体"/>
          <w:szCs w:val="21"/>
        </w:rPr>
        <w:t>8．不发生治安保卫事件（构成刑事拘留及以上的事件、盗窃直接损失超过1万元人民币的事件）。</w:t>
      </w:r>
    </w:p>
    <w:p>
      <w:pPr>
        <w:spacing w:line="360" w:lineRule="auto"/>
        <w:ind w:firstLine="420" w:firstLineChars="200"/>
        <w:jc w:val="left"/>
        <w:rPr>
          <w:rFonts w:ascii="宋体" w:hAnsi="宋体"/>
          <w:szCs w:val="21"/>
        </w:rPr>
      </w:pPr>
      <w:bookmarkStart w:id="1261" w:name="_Toc247431425"/>
      <w:bookmarkStart w:id="1262" w:name="_Toc247418265"/>
      <w:bookmarkStart w:id="1263" w:name="_Toc239510291"/>
      <w:r>
        <w:rPr>
          <w:rFonts w:hint="eastAsia" w:ascii="宋体" w:hAnsi="宋体"/>
          <w:szCs w:val="21"/>
        </w:rPr>
        <w:t>（三）承包人承诺在施工中控制以下安全事故的发生：</w:t>
      </w:r>
      <w:bookmarkEnd w:id="1261"/>
      <w:bookmarkEnd w:id="1262"/>
      <w:bookmarkEnd w:id="1263"/>
    </w:p>
    <w:p>
      <w:pPr>
        <w:spacing w:line="360" w:lineRule="auto"/>
        <w:ind w:firstLine="420" w:firstLineChars="200"/>
        <w:jc w:val="left"/>
        <w:rPr>
          <w:rFonts w:ascii="宋体" w:hAnsi="宋体"/>
          <w:szCs w:val="21"/>
        </w:rPr>
      </w:pPr>
      <w:r>
        <w:rPr>
          <w:rFonts w:hint="eastAsia" w:ascii="宋体" w:hAnsi="宋体"/>
          <w:szCs w:val="21"/>
        </w:rPr>
        <w:t>1．人员轻伤事故。</w:t>
      </w:r>
    </w:p>
    <w:p>
      <w:pPr>
        <w:spacing w:line="360" w:lineRule="auto"/>
        <w:ind w:firstLine="420" w:firstLineChars="200"/>
        <w:jc w:val="left"/>
        <w:rPr>
          <w:rFonts w:ascii="宋体" w:hAnsi="宋体"/>
          <w:szCs w:val="21"/>
        </w:rPr>
      </w:pPr>
      <w:r>
        <w:rPr>
          <w:rFonts w:hint="eastAsia" w:ascii="宋体" w:hAnsi="宋体"/>
          <w:szCs w:val="21"/>
        </w:rPr>
        <w:t>2．负有同等及以上事故责任的人身轻伤交通事故。</w:t>
      </w:r>
    </w:p>
    <w:p>
      <w:pPr>
        <w:spacing w:line="360" w:lineRule="auto"/>
        <w:ind w:firstLine="420" w:firstLineChars="200"/>
        <w:jc w:val="left"/>
        <w:rPr>
          <w:rFonts w:ascii="宋体" w:hAnsi="宋体"/>
          <w:szCs w:val="21"/>
        </w:rPr>
      </w:pPr>
      <w:r>
        <w:rPr>
          <w:rFonts w:hint="eastAsia" w:ascii="宋体" w:hAnsi="宋体"/>
          <w:szCs w:val="21"/>
        </w:rPr>
        <w:t>3．其他安全未遂事故和异常事件。</w:t>
      </w:r>
    </w:p>
    <w:p>
      <w:pPr>
        <w:spacing w:line="360" w:lineRule="auto"/>
        <w:ind w:firstLine="420" w:firstLineChars="200"/>
        <w:rPr>
          <w:rFonts w:ascii="宋体" w:hAnsi="宋体"/>
          <w:szCs w:val="21"/>
        </w:rPr>
      </w:pPr>
      <w:bookmarkStart w:id="1264" w:name="_Toc247431426"/>
      <w:bookmarkStart w:id="1265" w:name="_Toc239510292"/>
      <w:bookmarkStart w:id="1266" w:name="_Toc532375702"/>
      <w:bookmarkStart w:id="1267" w:name="_Toc247418266"/>
      <w:r>
        <w:rPr>
          <w:rFonts w:hint="eastAsia" w:ascii="宋体" w:hAnsi="宋体"/>
          <w:szCs w:val="21"/>
        </w:rPr>
        <w:t>三、安全责任</w:t>
      </w:r>
      <w:bookmarkEnd w:id="1264"/>
      <w:bookmarkEnd w:id="1265"/>
      <w:bookmarkEnd w:id="1266"/>
      <w:bookmarkEnd w:id="1267"/>
    </w:p>
    <w:p>
      <w:pPr>
        <w:spacing w:line="360" w:lineRule="auto"/>
        <w:ind w:firstLine="420" w:firstLineChars="200"/>
        <w:jc w:val="left"/>
        <w:rPr>
          <w:rFonts w:ascii="宋体" w:hAnsi="宋体"/>
          <w:szCs w:val="21"/>
        </w:rPr>
      </w:pPr>
      <w:r>
        <w:rPr>
          <w:rFonts w:hint="eastAsia" w:ascii="宋体" w:hAnsi="宋体"/>
          <w:szCs w:val="21"/>
        </w:rPr>
        <w:t>1．承包人负有安全生产的管理责任和直接责任。</w:t>
      </w:r>
    </w:p>
    <w:p>
      <w:pPr>
        <w:spacing w:line="360" w:lineRule="auto"/>
        <w:ind w:firstLine="420" w:firstLineChars="200"/>
        <w:jc w:val="left"/>
        <w:rPr>
          <w:rFonts w:ascii="宋体" w:hAnsi="宋体"/>
          <w:szCs w:val="21"/>
        </w:rPr>
      </w:pPr>
      <w:r>
        <w:rPr>
          <w:rFonts w:hint="eastAsia" w:ascii="宋体" w:hAnsi="宋体"/>
          <w:szCs w:val="21"/>
        </w:rPr>
        <w:t>2．承包人的法人或签署合同的公司总经理或受委托的代理人对合同安全负有全面的领导责任。</w:t>
      </w:r>
    </w:p>
    <w:p>
      <w:pPr>
        <w:spacing w:line="360" w:lineRule="auto"/>
        <w:ind w:firstLine="420" w:firstLineChars="200"/>
        <w:jc w:val="left"/>
        <w:rPr>
          <w:rFonts w:ascii="宋体" w:hAnsi="宋体"/>
          <w:szCs w:val="21"/>
        </w:rPr>
      </w:pPr>
      <w:r>
        <w:rPr>
          <w:rFonts w:hint="eastAsia" w:ascii="宋体" w:hAnsi="宋体"/>
          <w:szCs w:val="21"/>
        </w:rPr>
        <w:t>3．承包人项目经理对施工现场的安全工作负有全面的直接领导责任。</w:t>
      </w:r>
    </w:p>
    <w:p>
      <w:pPr>
        <w:spacing w:line="360" w:lineRule="auto"/>
        <w:ind w:firstLine="420" w:firstLineChars="200"/>
        <w:jc w:val="left"/>
        <w:rPr>
          <w:rFonts w:ascii="宋体" w:hAnsi="宋体"/>
          <w:szCs w:val="21"/>
        </w:rPr>
      </w:pPr>
      <w:r>
        <w:rPr>
          <w:rFonts w:hint="eastAsia" w:ascii="宋体" w:hAnsi="宋体"/>
          <w:szCs w:val="21"/>
        </w:rPr>
        <w:t>4．承包人保证执行“谁施工、谁负责”的施工安全原则。</w:t>
      </w:r>
    </w:p>
    <w:p>
      <w:pPr>
        <w:spacing w:line="360" w:lineRule="auto"/>
        <w:ind w:firstLine="420" w:firstLineChars="200"/>
        <w:jc w:val="left"/>
        <w:rPr>
          <w:rFonts w:ascii="宋体" w:hAnsi="宋体"/>
          <w:szCs w:val="21"/>
        </w:rPr>
      </w:pPr>
      <w:r>
        <w:rPr>
          <w:rFonts w:hint="eastAsia" w:ascii="宋体" w:hAnsi="宋体"/>
          <w:szCs w:val="21"/>
        </w:rPr>
        <w:t>5．承包人保证服从发包人对安全工作的统一协调和管理。</w:t>
      </w:r>
    </w:p>
    <w:p>
      <w:pPr>
        <w:spacing w:line="360" w:lineRule="auto"/>
        <w:ind w:firstLine="420" w:firstLineChars="200"/>
        <w:jc w:val="left"/>
        <w:rPr>
          <w:rFonts w:ascii="宋体" w:hAnsi="宋体"/>
          <w:szCs w:val="21"/>
        </w:rPr>
      </w:pPr>
      <w:r>
        <w:rPr>
          <w:rFonts w:hint="eastAsia" w:ascii="宋体" w:hAnsi="宋体"/>
          <w:szCs w:val="21"/>
        </w:rPr>
        <w:t>6．承包人保证对本工程项目安全生产条件及其管理资源自行投入，保证安全资金的专款专用。</w:t>
      </w:r>
    </w:p>
    <w:p>
      <w:pPr>
        <w:spacing w:line="360" w:lineRule="auto"/>
        <w:ind w:firstLine="420" w:firstLineChars="200"/>
        <w:jc w:val="left"/>
        <w:rPr>
          <w:rFonts w:ascii="宋体" w:hAnsi="宋体"/>
          <w:szCs w:val="21"/>
        </w:rPr>
      </w:pPr>
      <w:r>
        <w:rPr>
          <w:rFonts w:hint="eastAsia" w:ascii="宋体" w:hAnsi="宋体"/>
          <w:szCs w:val="21"/>
        </w:rPr>
        <w:t>7．承包人保证建立本工程项目的安全管理体系及安全保证体系（注：项目安全管理大纲/手册、管理性的程序文件等）。</w:t>
      </w:r>
    </w:p>
    <w:p>
      <w:pPr>
        <w:spacing w:line="360" w:lineRule="auto"/>
        <w:ind w:firstLine="420" w:firstLineChars="200"/>
        <w:jc w:val="left"/>
        <w:rPr>
          <w:rFonts w:ascii="宋体" w:hAnsi="宋体"/>
          <w:szCs w:val="21"/>
        </w:rPr>
      </w:pPr>
      <w:r>
        <w:rPr>
          <w:rFonts w:hint="eastAsia" w:ascii="宋体" w:hAnsi="宋体"/>
          <w:szCs w:val="21"/>
        </w:rPr>
        <w:t>8．承包人保证现场的安全管理专职人员必须持有建设主管部门安全生产培训考核合格证书。</w:t>
      </w:r>
    </w:p>
    <w:p>
      <w:pPr>
        <w:spacing w:line="360" w:lineRule="auto"/>
        <w:ind w:firstLine="420" w:firstLineChars="200"/>
        <w:jc w:val="left"/>
        <w:rPr>
          <w:rFonts w:ascii="宋体" w:hAnsi="宋体"/>
          <w:szCs w:val="21"/>
        </w:rPr>
      </w:pPr>
      <w:r>
        <w:rPr>
          <w:rFonts w:hint="eastAsia" w:ascii="宋体" w:hAnsi="宋体"/>
          <w:szCs w:val="21"/>
        </w:rPr>
        <w:t>9．承包人保证为现场所有工作人员（含分包商员工及劳务人员）配备符合国家标准的有承包人和/或其下属分包商标志的个人基本劳动保护用品。</w:t>
      </w:r>
    </w:p>
    <w:p>
      <w:pPr>
        <w:spacing w:line="360" w:lineRule="auto"/>
        <w:ind w:firstLine="420" w:firstLineChars="200"/>
        <w:jc w:val="left"/>
        <w:rPr>
          <w:rFonts w:ascii="宋体" w:hAnsi="宋体"/>
          <w:szCs w:val="21"/>
        </w:rPr>
      </w:pPr>
      <w:r>
        <w:rPr>
          <w:rFonts w:hint="eastAsia" w:ascii="宋体" w:hAnsi="宋体"/>
          <w:szCs w:val="21"/>
        </w:rPr>
        <w:t>10．承包人保证按照国家法律规定为现场所有工作人员（含分包商员工及劳务人员）购买意外伤害保险。</w:t>
      </w:r>
    </w:p>
    <w:p>
      <w:pPr>
        <w:spacing w:line="360" w:lineRule="auto"/>
        <w:ind w:firstLine="420" w:firstLineChars="200"/>
        <w:jc w:val="left"/>
        <w:rPr>
          <w:rFonts w:ascii="宋体" w:hAnsi="宋体"/>
          <w:szCs w:val="21"/>
        </w:rPr>
      </w:pPr>
      <w:r>
        <w:rPr>
          <w:rFonts w:hint="eastAsia" w:ascii="宋体" w:hAnsi="宋体"/>
          <w:szCs w:val="21"/>
        </w:rPr>
        <w:t>11．承包人保证施工生活营地（包括自建的和租用的营地）满足消防、安全用电、卫生防疫、防暴雨、防雷击等方面的安全要求。</w:t>
      </w:r>
    </w:p>
    <w:p>
      <w:pPr>
        <w:spacing w:line="360" w:lineRule="auto"/>
        <w:ind w:firstLine="420" w:firstLineChars="200"/>
        <w:jc w:val="left"/>
        <w:rPr>
          <w:rFonts w:ascii="宋体" w:hAnsi="宋体"/>
          <w:szCs w:val="21"/>
        </w:rPr>
      </w:pPr>
      <w:r>
        <w:rPr>
          <w:rFonts w:hint="eastAsia" w:ascii="宋体" w:hAnsi="宋体"/>
          <w:szCs w:val="21"/>
        </w:rPr>
        <w:t>12．承包人保证对带入现场的设备、工具、材料按照国家法规和标准进行检测、试验，并持有法定部门出具的检验证书。</w:t>
      </w:r>
    </w:p>
    <w:p>
      <w:pPr>
        <w:spacing w:line="360" w:lineRule="auto"/>
        <w:ind w:firstLine="420" w:firstLineChars="200"/>
        <w:jc w:val="left"/>
        <w:rPr>
          <w:rFonts w:ascii="宋体" w:hAnsi="宋体"/>
          <w:szCs w:val="21"/>
        </w:rPr>
      </w:pPr>
      <w:r>
        <w:rPr>
          <w:rFonts w:hint="eastAsia" w:ascii="宋体" w:hAnsi="宋体"/>
          <w:szCs w:val="21"/>
        </w:rPr>
        <w:t>13．承包人保证制订施工现场的文明施工措施，保护环境、树木和植被，保持施工现场的良好秩序和整洁的作业环境。</w:t>
      </w:r>
    </w:p>
    <w:p>
      <w:pPr>
        <w:spacing w:line="360" w:lineRule="auto"/>
        <w:ind w:firstLine="420" w:firstLineChars="200"/>
        <w:jc w:val="left"/>
        <w:rPr>
          <w:rFonts w:ascii="宋体" w:hAnsi="宋体"/>
          <w:szCs w:val="21"/>
        </w:rPr>
      </w:pPr>
      <w:r>
        <w:rPr>
          <w:rFonts w:hint="eastAsia" w:ascii="宋体" w:hAnsi="宋体"/>
          <w:szCs w:val="21"/>
        </w:rPr>
        <w:t>14．承包人负责在施工过程中与当地政府、周边群众及其他承包商保持良好的沟通和交流。承包人遇到与周边群众发生纠纷时，应负责协调工作，确保工程能够顺利进行。</w:t>
      </w:r>
    </w:p>
    <w:p>
      <w:pPr>
        <w:spacing w:line="360" w:lineRule="auto"/>
        <w:ind w:firstLine="420" w:firstLineChars="200"/>
        <w:rPr>
          <w:rFonts w:ascii="宋体" w:hAnsi="宋体"/>
          <w:szCs w:val="21"/>
        </w:rPr>
      </w:pPr>
      <w:bookmarkStart w:id="1268" w:name="_Toc239510293"/>
      <w:bookmarkStart w:id="1269" w:name="_Toc532375703"/>
      <w:bookmarkStart w:id="1270" w:name="_Toc247418267"/>
      <w:bookmarkStart w:id="1271" w:name="_Toc247431427"/>
      <w:r>
        <w:rPr>
          <w:rFonts w:hint="eastAsia" w:ascii="宋体" w:hAnsi="宋体"/>
          <w:szCs w:val="21"/>
        </w:rPr>
        <w:t>四、接口及协调</w:t>
      </w:r>
      <w:bookmarkEnd w:id="1268"/>
      <w:bookmarkEnd w:id="1269"/>
      <w:bookmarkEnd w:id="1270"/>
      <w:bookmarkEnd w:id="1271"/>
    </w:p>
    <w:p>
      <w:pPr>
        <w:spacing w:line="360" w:lineRule="auto"/>
        <w:ind w:firstLine="420" w:firstLineChars="200"/>
        <w:jc w:val="left"/>
        <w:rPr>
          <w:rFonts w:ascii="宋体" w:hAnsi="宋体"/>
          <w:szCs w:val="21"/>
        </w:rPr>
      </w:pPr>
      <w:r>
        <w:rPr>
          <w:rFonts w:hint="eastAsia" w:ascii="宋体" w:hAnsi="宋体"/>
          <w:szCs w:val="21"/>
        </w:rPr>
        <w:t>1．发包人委托监理公司对该工程实施监理，监理公司在安全管理方面代表发包人行使监督检查职能，承包人必须给予配合和支持。</w:t>
      </w:r>
    </w:p>
    <w:p>
      <w:pPr>
        <w:spacing w:line="360" w:lineRule="auto"/>
        <w:ind w:firstLine="420" w:firstLineChars="200"/>
        <w:jc w:val="left"/>
        <w:rPr>
          <w:rFonts w:ascii="宋体" w:hAnsi="宋体"/>
          <w:szCs w:val="21"/>
        </w:rPr>
      </w:pPr>
      <w:r>
        <w:rPr>
          <w:rFonts w:hint="eastAsia" w:ascii="宋体" w:hAnsi="宋体"/>
          <w:szCs w:val="21"/>
        </w:rPr>
        <w:t>2．承包人人员、车辆的出入，带入现场的设备、机具、材料，在现场使用的或直接管理的办公、生活、生产性设施的安全管理须满足发包人现场管理的基本要求。</w:t>
      </w:r>
    </w:p>
    <w:p>
      <w:pPr>
        <w:spacing w:line="360" w:lineRule="auto"/>
        <w:ind w:firstLine="420" w:firstLineChars="200"/>
        <w:jc w:val="left"/>
        <w:rPr>
          <w:rFonts w:ascii="宋体" w:hAnsi="宋体"/>
          <w:szCs w:val="21"/>
        </w:rPr>
      </w:pPr>
      <w:r>
        <w:rPr>
          <w:rFonts w:hint="eastAsia" w:ascii="宋体" w:hAnsi="宋体"/>
          <w:szCs w:val="21"/>
        </w:rPr>
        <w:t>3．承包人应指定专职安全管理人员与发包人委托的监理公司接口，参与安全协调和管理。安全协调和管理的内容包括职业健康、工业安全、消防安全、卫生防疫、交通安全、环境保护、治安保卫等各方面。</w:t>
      </w:r>
    </w:p>
    <w:p>
      <w:pPr>
        <w:spacing w:line="360" w:lineRule="auto"/>
        <w:ind w:firstLine="420" w:firstLineChars="200"/>
        <w:jc w:val="left"/>
        <w:rPr>
          <w:rFonts w:ascii="宋体" w:hAnsi="宋体"/>
          <w:szCs w:val="21"/>
        </w:rPr>
      </w:pPr>
      <w:r>
        <w:rPr>
          <w:rFonts w:hint="eastAsia" w:ascii="宋体" w:hAnsi="宋体"/>
          <w:szCs w:val="21"/>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pPr>
        <w:spacing w:line="360" w:lineRule="auto"/>
        <w:ind w:firstLine="420" w:firstLineChars="200"/>
        <w:jc w:val="left"/>
        <w:rPr>
          <w:rFonts w:ascii="宋体" w:hAnsi="宋体"/>
          <w:szCs w:val="21"/>
        </w:rPr>
      </w:pPr>
      <w:r>
        <w:rPr>
          <w:rFonts w:hint="eastAsia" w:ascii="宋体" w:hAnsi="宋体"/>
          <w:szCs w:val="21"/>
        </w:rPr>
        <w:t>5．承包人指定的专职安全管理人员应与发包人委托的监理公司建立联系，在业务上接受发包人委托的监理公司的协调和指导。</w:t>
      </w:r>
    </w:p>
    <w:p>
      <w:pPr>
        <w:spacing w:line="360" w:lineRule="auto"/>
        <w:ind w:firstLine="420" w:firstLineChars="200"/>
        <w:jc w:val="left"/>
        <w:rPr>
          <w:rFonts w:ascii="宋体" w:hAnsi="宋体"/>
          <w:szCs w:val="21"/>
        </w:rPr>
      </w:pPr>
      <w:r>
        <w:rPr>
          <w:rFonts w:hint="eastAsia" w:ascii="宋体" w:hAnsi="宋体"/>
          <w:szCs w:val="21"/>
        </w:rPr>
        <w:t>6．开工后承包人的专职安全管理人员应按照发包人委托的监理公司的规定，定期报送安全月度快报、季报、年报和各种专项事故报告等。</w:t>
      </w:r>
    </w:p>
    <w:p>
      <w:pPr>
        <w:spacing w:line="360" w:lineRule="auto"/>
        <w:ind w:firstLine="420" w:firstLineChars="200"/>
        <w:jc w:val="left"/>
        <w:rPr>
          <w:rFonts w:ascii="宋体" w:hAnsi="宋体"/>
          <w:szCs w:val="21"/>
        </w:rPr>
      </w:pPr>
      <w:r>
        <w:rPr>
          <w:rFonts w:hint="eastAsia" w:ascii="宋体" w:hAnsi="宋体"/>
          <w:szCs w:val="21"/>
        </w:rPr>
        <w:t>7．在工程实体未全部正式移交发包人施工管理部门之前，承包人依旧对施工范围内的安全管理负责。</w:t>
      </w:r>
    </w:p>
    <w:p>
      <w:pPr>
        <w:spacing w:line="360" w:lineRule="auto"/>
        <w:ind w:firstLine="420" w:firstLineChars="200"/>
        <w:rPr>
          <w:rFonts w:ascii="宋体" w:hAnsi="宋体"/>
          <w:szCs w:val="21"/>
        </w:rPr>
      </w:pPr>
      <w:bookmarkStart w:id="1272" w:name="_Toc239510294"/>
      <w:bookmarkStart w:id="1273" w:name="_Toc532375704"/>
      <w:bookmarkStart w:id="1274" w:name="_Toc247431428"/>
      <w:bookmarkStart w:id="1275" w:name="_Toc247418268"/>
      <w:r>
        <w:rPr>
          <w:rFonts w:hint="eastAsia" w:ascii="宋体" w:hAnsi="宋体"/>
          <w:szCs w:val="21"/>
        </w:rPr>
        <w:t>五、安全资质审查</w:t>
      </w:r>
      <w:bookmarkEnd w:id="1272"/>
      <w:bookmarkEnd w:id="1273"/>
      <w:bookmarkEnd w:id="1274"/>
      <w:bookmarkEnd w:id="1275"/>
    </w:p>
    <w:p>
      <w:pPr>
        <w:spacing w:line="360" w:lineRule="auto"/>
        <w:ind w:firstLine="420" w:firstLineChars="200"/>
        <w:jc w:val="left"/>
        <w:rPr>
          <w:rFonts w:ascii="宋体" w:hAnsi="宋体"/>
          <w:szCs w:val="21"/>
        </w:rPr>
      </w:pPr>
      <w:r>
        <w:rPr>
          <w:rFonts w:hint="eastAsia" w:ascii="宋体" w:hAnsi="宋体"/>
          <w:szCs w:val="21"/>
        </w:rPr>
        <w:t>承包人在项目开工前5个工作天内向发包人委托的监理公司提供以下安全资质供审查和存档：</w:t>
      </w:r>
    </w:p>
    <w:p>
      <w:pPr>
        <w:spacing w:line="360" w:lineRule="auto"/>
        <w:ind w:firstLine="420" w:firstLineChars="200"/>
        <w:jc w:val="left"/>
        <w:rPr>
          <w:rFonts w:ascii="宋体" w:hAnsi="宋体"/>
          <w:szCs w:val="21"/>
        </w:rPr>
      </w:pPr>
      <w:r>
        <w:rPr>
          <w:rFonts w:hint="eastAsia" w:ascii="宋体" w:hAnsi="宋体"/>
          <w:szCs w:val="21"/>
        </w:rPr>
        <w:t>1．企业安全生产许可证书复印件。</w:t>
      </w:r>
    </w:p>
    <w:p>
      <w:pPr>
        <w:spacing w:line="360" w:lineRule="auto"/>
        <w:ind w:firstLine="420" w:firstLineChars="200"/>
        <w:jc w:val="left"/>
        <w:rPr>
          <w:rFonts w:ascii="宋体" w:hAnsi="宋体"/>
          <w:szCs w:val="21"/>
        </w:rPr>
      </w:pPr>
      <w:r>
        <w:rPr>
          <w:rFonts w:hint="eastAsia" w:ascii="宋体" w:hAnsi="宋体"/>
          <w:szCs w:val="21"/>
        </w:rPr>
        <w:t>2．企业近三年的施工简历及安全施工业绩证明文件。</w:t>
      </w:r>
    </w:p>
    <w:p>
      <w:pPr>
        <w:spacing w:line="360" w:lineRule="auto"/>
        <w:ind w:firstLine="420" w:firstLineChars="200"/>
        <w:jc w:val="left"/>
        <w:rPr>
          <w:rFonts w:ascii="宋体" w:hAnsi="宋体"/>
          <w:szCs w:val="21"/>
        </w:rPr>
      </w:pPr>
      <w:r>
        <w:rPr>
          <w:rFonts w:hint="eastAsia" w:ascii="宋体" w:hAnsi="宋体"/>
          <w:szCs w:val="21"/>
        </w:rPr>
        <w:t>3．企业主要安全管理人员（包括项目经理、专职安全管理人员）经建设主管部门安全生产知识考核合格证书。</w:t>
      </w:r>
    </w:p>
    <w:p>
      <w:pPr>
        <w:spacing w:line="360" w:lineRule="auto"/>
        <w:ind w:firstLine="420" w:firstLineChars="200"/>
        <w:jc w:val="left"/>
        <w:rPr>
          <w:rFonts w:ascii="宋体" w:hAnsi="宋体"/>
          <w:szCs w:val="21"/>
        </w:rPr>
      </w:pPr>
      <w:r>
        <w:rPr>
          <w:rFonts w:hint="eastAsia" w:ascii="宋体" w:hAnsi="宋体"/>
          <w:szCs w:val="21"/>
        </w:rPr>
        <w:t>4．特种作业人员资格证书。</w:t>
      </w:r>
    </w:p>
    <w:p>
      <w:pPr>
        <w:spacing w:line="360" w:lineRule="auto"/>
        <w:ind w:firstLine="420" w:firstLineChars="200"/>
        <w:jc w:val="left"/>
        <w:rPr>
          <w:rFonts w:ascii="宋体" w:hAnsi="宋体"/>
          <w:szCs w:val="21"/>
        </w:rPr>
      </w:pPr>
      <w:r>
        <w:rPr>
          <w:rFonts w:hint="eastAsia" w:ascii="宋体" w:hAnsi="宋体"/>
          <w:szCs w:val="21"/>
        </w:rPr>
        <w:t>5．项目安全管理机构及其人员配备（承包人必须配有专职的安全员）。</w:t>
      </w:r>
    </w:p>
    <w:p>
      <w:pPr>
        <w:spacing w:line="360" w:lineRule="auto"/>
        <w:ind w:firstLine="420" w:firstLineChars="200"/>
        <w:jc w:val="left"/>
        <w:rPr>
          <w:rFonts w:ascii="宋体" w:hAnsi="宋体"/>
          <w:szCs w:val="21"/>
        </w:rPr>
      </w:pPr>
      <w:r>
        <w:rPr>
          <w:rFonts w:hint="eastAsia" w:ascii="宋体" w:hAnsi="宋体"/>
          <w:szCs w:val="21"/>
        </w:rPr>
        <w:t>6．适用于项目的安全管理体系及保证体系文件（安全管理大纲及管理程序文件）。</w:t>
      </w:r>
    </w:p>
    <w:p>
      <w:pPr>
        <w:spacing w:line="360" w:lineRule="auto"/>
        <w:ind w:firstLine="420" w:firstLineChars="200"/>
        <w:rPr>
          <w:rFonts w:ascii="宋体" w:hAnsi="宋体"/>
          <w:szCs w:val="21"/>
        </w:rPr>
      </w:pPr>
      <w:bookmarkStart w:id="1276" w:name="_Toc532375705"/>
      <w:bookmarkStart w:id="1277" w:name="_Toc247431429"/>
      <w:bookmarkStart w:id="1278" w:name="_Toc247418269"/>
      <w:bookmarkStart w:id="1279" w:name="_Toc239510295"/>
      <w:r>
        <w:rPr>
          <w:rFonts w:hint="eastAsia" w:ascii="宋体" w:hAnsi="宋体"/>
          <w:szCs w:val="21"/>
        </w:rPr>
        <w:t>六、人员基本素质</w:t>
      </w:r>
      <w:bookmarkEnd w:id="1276"/>
      <w:bookmarkEnd w:id="1277"/>
      <w:bookmarkEnd w:id="1278"/>
      <w:bookmarkEnd w:id="1279"/>
    </w:p>
    <w:p>
      <w:pPr>
        <w:spacing w:line="360" w:lineRule="auto"/>
        <w:ind w:firstLine="420" w:firstLineChars="200"/>
        <w:jc w:val="left"/>
        <w:rPr>
          <w:rFonts w:ascii="宋体" w:hAnsi="宋体"/>
          <w:szCs w:val="21"/>
        </w:rPr>
      </w:pPr>
      <w:r>
        <w:rPr>
          <w:rFonts w:hint="eastAsia" w:ascii="宋体" w:hAnsi="宋体"/>
          <w:szCs w:val="21"/>
        </w:rPr>
        <w:t>承包人提供的人员必须满足下列要求:</w:t>
      </w:r>
    </w:p>
    <w:p>
      <w:pPr>
        <w:spacing w:line="360" w:lineRule="auto"/>
        <w:ind w:firstLine="420" w:firstLineChars="200"/>
        <w:jc w:val="left"/>
        <w:rPr>
          <w:rFonts w:ascii="宋体" w:hAnsi="宋体"/>
          <w:szCs w:val="21"/>
        </w:rPr>
      </w:pPr>
      <w:r>
        <w:rPr>
          <w:rFonts w:hint="eastAsia" w:ascii="宋体" w:hAnsi="宋体"/>
          <w:szCs w:val="21"/>
        </w:rPr>
        <w:t>1．身体健康，无影响工作的精神疾病、无传染病和其他重大疾病；承包人需对其雇用的施工人员签发健康声明并保证其健康。其中体检证明材料（县级以上医院）和健康声明作为人员办理入场证件的必备材料。</w:t>
      </w:r>
    </w:p>
    <w:p>
      <w:pPr>
        <w:spacing w:line="360" w:lineRule="auto"/>
        <w:ind w:firstLine="420" w:firstLineChars="200"/>
        <w:jc w:val="left"/>
        <w:rPr>
          <w:rFonts w:ascii="宋体" w:hAnsi="宋体"/>
          <w:szCs w:val="21"/>
        </w:rPr>
      </w:pPr>
      <w:r>
        <w:rPr>
          <w:rFonts w:hint="eastAsia" w:ascii="宋体" w:hAnsi="宋体"/>
          <w:szCs w:val="21"/>
        </w:rPr>
        <w:t>2．无刑事案件牵连。</w:t>
      </w:r>
    </w:p>
    <w:p>
      <w:pPr>
        <w:spacing w:line="360" w:lineRule="auto"/>
        <w:ind w:firstLine="420" w:firstLineChars="200"/>
        <w:jc w:val="left"/>
        <w:rPr>
          <w:rFonts w:ascii="宋体" w:hAnsi="宋体"/>
          <w:szCs w:val="21"/>
        </w:rPr>
      </w:pPr>
      <w:r>
        <w:rPr>
          <w:rFonts w:hint="eastAsia" w:ascii="宋体" w:hAnsi="宋体"/>
          <w:szCs w:val="21"/>
        </w:rPr>
        <w:t>3．无吸毒、酗酒、赌博、嫖娼等恶习及违法行为。</w:t>
      </w:r>
    </w:p>
    <w:p>
      <w:pPr>
        <w:spacing w:line="360" w:lineRule="auto"/>
        <w:ind w:firstLine="420" w:firstLineChars="200"/>
        <w:rPr>
          <w:rFonts w:ascii="宋体" w:hAnsi="宋体"/>
          <w:szCs w:val="21"/>
        </w:rPr>
      </w:pPr>
      <w:bookmarkStart w:id="1280" w:name="_Toc239510296"/>
      <w:bookmarkStart w:id="1281" w:name="_Toc247418270"/>
      <w:bookmarkStart w:id="1282" w:name="_Toc247431430"/>
      <w:bookmarkStart w:id="1283" w:name="_Toc532375706"/>
      <w:r>
        <w:rPr>
          <w:rFonts w:hint="eastAsia" w:ascii="宋体" w:hAnsi="宋体"/>
          <w:szCs w:val="21"/>
        </w:rPr>
        <w:t>七、劳动保护</w:t>
      </w:r>
      <w:bookmarkEnd w:id="1280"/>
      <w:bookmarkEnd w:id="1281"/>
      <w:bookmarkEnd w:id="1282"/>
      <w:bookmarkEnd w:id="1283"/>
    </w:p>
    <w:p>
      <w:pPr>
        <w:spacing w:line="360" w:lineRule="auto"/>
        <w:ind w:firstLine="420" w:firstLineChars="200"/>
        <w:jc w:val="left"/>
        <w:rPr>
          <w:rFonts w:ascii="宋体" w:hAnsi="宋体"/>
          <w:szCs w:val="21"/>
        </w:rPr>
      </w:pPr>
      <w:r>
        <w:rPr>
          <w:rFonts w:hint="eastAsia" w:ascii="宋体" w:hAnsi="宋体"/>
          <w:szCs w:val="21"/>
        </w:rPr>
        <w:t>1．承包人负责为本单位任何用工形式的员工提供个人劳动保护用品（包括工作服、安全帽、安全鞋等）。</w:t>
      </w:r>
    </w:p>
    <w:p>
      <w:pPr>
        <w:spacing w:line="360" w:lineRule="auto"/>
        <w:ind w:firstLine="420" w:firstLineChars="200"/>
        <w:jc w:val="left"/>
        <w:rPr>
          <w:rFonts w:ascii="宋体" w:hAnsi="宋体"/>
          <w:szCs w:val="21"/>
        </w:rPr>
      </w:pPr>
      <w:r>
        <w:rPr>
          <w:rFonts w:hint="eastAsia" w:ascii="宋体" w:hAnsi="宋体"/>
          <w:szCs w:val="21"/>
        </w:rPr>
        <w:t>2．承包人负责向特殊工种的员工提供特殊劳动保护，否则不得从事特殊工种作业。</w:t>
      </w:r>
    </w:p>
    <w:p>
      <w:pPr>
        <w:spacing w:line="360" w:lineRule="auto"/>
        <w:ind w:firstLine="420" w:firstLineChars="200"/>
        <w:jc w:val="left"/>
        <w:rPr>
          <w:rFonts w:ascii="宋体" w:hAnsi="宋体"/>
          <w:szCs w:val="21"/>
        </w:rPr>
      </w:pPr>
      <w:r>
        <w:rPr>
          <w:rFonts w:hint="eastAsia" w:ascii="宋体" w:hAnsi="宋体"/>
          <w:szCs w:val="21"/>
        </w:rPr>
        <w:t>3．发包人委托的监理公司有权检查承包人的个人劳动保护用品是否符合国家的相应标准。</w:t>
      </w:r>
    </w:p>
    <w:p>
      <w:pPr>
        <w:spacing w:line="360" w:lineRule="auto"/>
        <w:ind w:firstLine="420" w:firstLineChars="200"/>
        <w:jc w:val="left"/>
        <w:rPr>
          <w:rFonts w:ascii="宋体" w:hAnsi="宋体"/>
          <w:szCs w:val="21"/>
        </w:rPr>
      </w:pPr>
      <w:r>
        <w:rPr>
          <w:rFonts w:hint="eastAsia" w:ascii="宋体" w:hAnsi="宋体"/>
          <w:szCs w:val="21"/>
        </w:rPr>
        <w:t>4． 承包人在特殊风险场所作业而需要特殊防护用品或安全仪表时，必须在上述防护用品全部到位后才能开工。</w:t>
      </w:r>
    </w:p>
    <w:p>
      <w:pPr>
        <w:spacing w:line="360" w:lineRule="auto"/>
        <w:ind w:firstLine="420" w:firstLineChars="200"/>
        <w:jc w:val="left"/>
        <w:rPr>
          <w:rFonts w:ascii="宋体" w:hAnsi="宋体"/>
          <w:szCs w:val="21"/>
        </w:rPr>
      </w:pPr>
      <w:r>
        <w:rPr>
          <w:rFonts w:hint="eastAsia" w:ascii="宋体" w:hAnsi="宋体"/>
          <w:szCs w:val="21"/>
        </w:rPr>
        <w:t>5．承包人应配备临时安全围栏、警示带、警告标志、防火布等集体防护用品。</w:t>
      </w:r>
    </w:p>
    <w:p>
      <w:pPr>
        <w:spacing w:line="360" w:lineRule="auto"/>
        <w:ind w:firstLine="420" w:firstLineChars="200"/>
        <w:rPr>
          <w:rFonts w:ascii="宋体" w:hAnsi="宋体"/>
          <w:szCs w:val="21"/>
        </w:rPr>
      </w:pPr>
      <w:bookmarkStart w:id="1284" w:name="_Toc239510297"/>
      <w:bookmarkStart w:id="1285" w:name="_Toc247431431"/>
      <w:bookmarkStart w:id="1286" w:name="_Toc247418271"/>
      <w:bookmarkStart w:id="1287" w:name="_Toc532375707"/>
      <w:r>
        <w:rPr>
          <w:rFonts w:hint="eastAsia" w:ascii="宋体" w:hAnsi="宋体"/>
          <w:szCs w:val="21"/>
        </w:rPr>
        <w:t>八、施工机具与材料</w:t>
      </w:r>
      <w:bookmarkEnd w:id="1284"/>
      <w:bookmarkEnd w:id="1285"/>
      <w:bookmarkEnd w:id="1286"/>
      <w:bookmarkEnd w:id="1287"/>
    </w:p>
    <w:p>
      <w:pPr>
        <w:spacing w:line="360" w:lineRule="auto"/>
        <w:ind w:firstLine="420" w:firstLineChars="200"/>
        <w:jc w:val="left"/>
        <w:rPr>
          <w:rFonts w:ascii="宋体" w:hAnsi="宋体"/>
          <w:szCs w:val="21"/>
        </w:rPr>
      </w:pPr>
      <w:r>
        <w:rPr>
          <w:rFonts w:hint="eastAsia" w:ascii="宋体" w:hAnsi="宋体"/>
          <w:szCs w:val="21"/>
        </w:rPr>
        <w:t>1．承包人对带入现场的施工机械和工器具的安全负责。</w:t>
      </w:r>
    </w:p>
    <w:p>
      <w:pPr>
        <w:spacing w:line="360" w:lineRule="auto"/>
        <w:ind w:firstLine="420" w:firstLineChars="200"/>
        <w:jc w:val="left"/>
        <w:rPr>
          <w:rFonts w:ascii="宋体" w:hAnsi="宋体"/>
          <w:szCs w:val="21"/>
        </w:rPr>
      </w:pPr>
      <w:r>
        <w:rPr>
          <w:rFonts w:hint="eastAsia" w:ascii="宋体" w:hAnsi="宋体"/>
          <w:szCs w:val="21"/>
        </w:rPr>
        <w:t>2．对于承包人带入现场的特殊工器具，如起重设备、索具、机动车辆、压缩气瓶等，承包人必须按国家法规和标准进行检测、试验，并持有法定部门出具的检验证书。</w:t>
      </w:r>
    </w:p>
    <w:p>
      <w:pPr>
        <w:spacing w:line="360" w:lineRule="auto"/>
        <w:ind w:firstLine="420" w:firstLineChars="200"/>
        <w:jc w:val="left"/>
        <w:rPr>
          <w:rFonts w:ascii="宋体" w:hAnsi="宋体"/>
          <w:szCs w:val="21"/>
        </w:rPr>
      </w:pPr>
      <w:r>
        <w:rPr>
          <w:rFonts w:hint="eastAsia" w:ascii="宋体" w:hAnsi="宋体"/>
          <w:szCs w:val="21"/>
        </w:rPr>
        <w:t>3．对于不属于法定检测的工器具，承包人也必须建立相应的管理、检测制度，这些工器具包括登高工具、脚手架材料、电动工具、安全防护设备及用具等。</w:t>
      </w:r>
    </w:p>
    <w:p>
      <w:pPr>
        <w:spacing w:line="360" w:lineRule="auto"/>
        <w:ind w:firstLine="420" w:firstLineChars="200"/>
        <w:rPr>
          <w:rFonts w:ascii="宋体" w:hAnsi="宋体"/>
          <w:szCs w:val="21"/>
        </w:rPr>
      </w:pPr>
      <w:bookmarkStart w:id="1288" w:name="_Toc247418272"/>
      <w:bookmarkStart w:id="1289" w:name="_Toc532375708"/>
      <w:bookmarkStart w:id="1290" w:name="_Toc247431432"/>
      <w:bookmarkStart w:id="1291" w:name="_Toc239510298"/>
      <w:r>
        <w:rPr>
          <w:rFonts w:hint="eastAsia" w:ascii="宋体" w:hAnsi="宋体"/>
          <w:szCs w:val="21"/>
        </w:rPr>
        <w:t>九、开工前安全条件检查</w:t>
      </w:r>
      <w:bookmarkEnd w:id="1288"/>
      <w:bookmarkEnd w:id="1289"/>
      <w:bookmarkEnd w:id="1290"/>
      <w:bookmarkEnd w:id="1291"/>
    </w:p>
    <w:p>
      <w:pPr>
        <w:spacing w:line="360" w:lineRule="auto"/>
        <w:ind w:firstLine="420" w:firstLineChars="200"/>
        <w:jc w:val="left"/>
        <w:rPr>
          <w:rFonts w:ascii="宋体" w:hAnsi="宋体"/>
          <w:szCs w:val="21"/>
        </w:rPr>
      </w:pPr>
      <w:r>
        <w:rPr>
          <w:rFonts w:hint="eastAsia" w:ascii="宋体" w:hAnsi="宋体"/>
          <w:szCs w:val="21"/>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pPr>
        <w:spacing w:line="360" w:lineRule="auto"/>
        <w:ind w:firstLine="420" w:firstLineChars="200"/>
        <w:jc w:val="left"/>
        <w:rPr>
          <w:rFonts w:ascii="宋体" w:hAnsi="宋体"/>
          <w:szCs w:val="21"/>
        </w:rPr>
      </w:pPr>
      <w:r>
        <w:rPr>
          <w:rFonts w:hint="eastAsia" w:ascii="宋体" w:hAnsi="宋体"/>
          <w:szCs w:val="21"/>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pPr>
        <w:spacing w:line="360" w:lineRule="auto"/>
        <w:ind w:firstLine="420" w:firstLineChars="200"/>
        <w:jc w:val="left"/>
        <w:rPr>
          <w:rFonts w:ascii="宋体" w:hAnsi="宋体"/>
          <w:szCs w:val="21"/>
        </w:rPr>
      </w:pPr>
      <w:r>
        <w:rPr>
          <w:rFonts w:hint="eastAsia" w:ascii="宋体" w:hAnsi="宋体"/>
          <w:szCs w:val="21"/>
        </w:rPr>
        <w:t>3．发包人委托的监理公司检查发现的缺陷，承包人应在规定期限内完成整改。对于重大缺陷，发包人委托的监理公司有权要求承包人推迟开工，由此对工期产生的影响或经济损失，由承包人承担。</w:t>
      </w:r>
    </w:p>
    <w:p>
      <w:pPr>
        <w:spacing w:line="360" w:lineRule="auto"/>
        <w:ind w:firstLine="420" w:firstLineChars="200"/>
        <w:rPr>
          <w:rFonts w:ascii="宋体" w:hAnsi="宋体"/>
          <w:szCs w:val="21"/>
        </w:rPr>
      </w:pPr>
      <w:bookmarkStart w:id="1292" w:name="_Toc239510299"/>
      <w:bookmarkStart w:id="1293" w:name="_Toc532375709"/>
      <w:bookmarkStart w:id="1294" w:name="_Toc247431433"/>
      <w:bookmarkStart w:id="1295" w:name="_Toc247418273"/>
      <w:r>
        <w:rPr>
          <w:rFonts w:hint="eastAsia" w:ascii="宋体" w:hAnsi="宋体"/>
          <w:szCs w:val="21"/>
        </w:rPr>
        <w:t>十、安全监督</w:t>
      </w:r>
      <w:bookmarkEnd w:id="1292"/>
      <w:bookmarkEnd w:id="1293"/>
      <w:bookmarkEnd w:id="1294"/>
      <w:bookmarkEnd w:id="1295"/>
    </w:p>
    <w:p>
      <w:pPr>
        <w:spacing w:line="360" w:lineRule="auto"/>
        <w:ind w:firstLine="420" w:firstLineChars="200"/>
        <w:jc w:val="left"/>
        <w:rPr>
          <w:rFonts w:ascii="宋体" w:hAnsi="宋体"/>
          <w:szCs w:val="21"/>
        </w:rPr>
      </w:pPr>
      <w:r>
        <w:rPr>
          <w:rFonts w:hint="eastAsia" w:ascii="宋体" w:hAnsi="宋体"/>
          <w:szCs w:val="21"/>
        </w:rPr>
        <w:t>1．承包人应配备有满足项目安全管理需要的专职安全管理人员。</w:t>
      </w:r>
    </w:p>
    <w:p>
      <w:pPr>
        <w:spacing w:line="360" w:lineRule="auto"/>
        <w:ind w:firstLine="420" w:firstLineChars="200"/>
        <w:jc w:val="left"/>
        <w:rPr>
          <w:rFonts w:ascii="宋体" w:hAnsi="宋体"/>
          <w:szCs w:val="21"/>
        </w:rPr>
      </w:pPr>
      <w:r>
        <w:rPr>
          <w:rFonts w:hint="eastAsia" w:ascii="宋体" w:hAnsi="宋体"/>
          <w:szCs w:val="21"/>
        </w:rPr>
        <w:t>2．承包人的专职安全管理人员必须持建设主管部门颁发的安全生产知识考核合格证书。</w:t>
      </w:r>
    </w:p>
    <w:p>
      <w:pPr>
        <w:spacing w:line="360" w:lineRule="auto"/>
        <w:ind w:firstLine="420" w:firstLineChars="200"/>
        <w:jc w:val="left"/>
        <w:rPr>
          <w:rFonts w:ascii="宋体" w:hAnsi="宋体"/>
          <w:szCs w:val="21"/>
        </w:rPr>
      </w:pPr>
      <w:r>
        <w:rPr>
          <w:rFonts w:hint="eastAsia" w:ascii="宋体" w:hAnsi="宋体"/>
          <w:szCs w:val="21"/>
        </w:rPr>
        <w:t>3．承包人的专职安全管理人员在业务上接受发包人委托的监理公司和发包人安全管理部门的协调和指导。</w:t>
      </w:r>
    </w:p>
    <w:p>
      <w:pPr>
        <w:spacing w:line="360" w:lineRule="auto"/>
        <w:ind w:firstLine="420" w:firstLineChars="200"/>
        <w:jc w:val="left"/>
        <w:rPr>
          <w:rFonts w:ascii="宋体" w:hAnsi="宋体"/>
          <w:szCs w:val="21"/>
        </w:rPr>
      </w:pPr>
      <w:r>
        <w:rPr>
          <w:rFonts w:hint="eastAsia" w:ascii="宋体" w:hAnsi="宋体"/>
          <w:szCs w:val="21"/>
        </w:rPr>
        <w:t>4．承包人应建立班前安全交底制度；施工期间坚持开展安全检查和日常安全监督并形成相应的记录。</w:t>
      </w:r>
    </w:p>
    <w:p>
      <w:pPr>
        <w:spacing w:line="360" w:lineRule="auto"/>
        <w:ind w:firstLine="420" w:firstLineChars="200"/>
        <w:jc w:val="left"/>
        <w:rPr>
          <w:rFonts w:ascii="宋体" w:hAnsi="宋体"/>
          <w:szCs w:val="21"/>
        </w:rPr>
      </w:pPr>
      <w:r>
        <w:rPr>
          <w:rFonts w:hint="eastAsia" w:ascii="宋体" w:hAnsi="宋体"/>
          <w:szCs w:val="21"/>
        </w:rPr>
        <w:t>5．承包人应在每个作业区任命兼职安全员，赋予兼职安全员相应的授权和义务，并对兼职安全员进行定期考核。</w:t>
      </w:r>
    </w:p>
    <w:p>
      <w:pPr>
        <w:spacing w:line="360" w:lineRule="auto"/>
        <w:ind w:firstLine="420" w:firstLineChars="200"/>
        <w:jc w:val="left"/>
        <w:rPr>
          <w:rFonts w:ascii="宋体" w:hAnsi="宋体"/>
          <w:szCs w:val="21"/>
        </w:rPr>
      </w:pPr>
      <w:r>
        <w:rPr>
          <w:rFonts w:hint="eastAsia" w:ascii="宋体" w:hAnsi="宋体"/>
          <w:szCs w:val="21"/>
        </w:rPr>
        <w:t>6．承包人应接受和配合发包人专业部门及委托的监理公司的监督与安全评价。</w:t>
      </w:r>
    </w:p>
    <w:p>
      <w:pPr>
        <w:spacing w:line="360" w:lineRule="auto"/>
        <w:ind w:firstLine="420" w:firstLineChars="200"/>
        <w:jc w:val="left"/>
        <w:rPr>
          <w:rFonts w:ascii="宋体" w:hAnsi="宋体"/>
          <w:szCs w:val="21"/>
        </w:rPr>
      </w:pPr>
      <w:r>
        <w:rPr>
          <w:rFonts w:hint="eastAsia" w:ascii="宋体" w:hAnsi="宋体"/>
          <w:szCs w:val="21"/>
        </w:rPr>
        <w:t>7．发包人和委托的监理公司有权对承包人履行安全管理协议的情况进行监督，并有权对违章行为实行停工和处罚，处罚情况将通知承包人。涉及经济处罚时将直接通知合同管理部门从合同结算中扣除。</w:t>
      </w:r>
    </w:p>
    <w:p>
      <w:pPr>
        <w:spacing w:line="360" w:lineRule="auto"/>
        <w:ind w:firstLine="420" w:firstLineChars="200"/>
        <w:rPr>
          <w:rFonts w:ascii="宋体" w:hAnsi="宋体"/>
          <w:szCs w:val="21"/>
        </w:rPr>
      </w:pPr>
      <w:bookmarkStart w:id="1296" w:name="_Toc247431434"/>
      <w:bookmarkStart w:id="1297" w:name="_Toc532375710"/>
      <w:bookmarkStart w:id="1298" w:name="_Toc247418274"/>
      <w:bookmarkStart w:id="1299" w:name="_Toc239510300"/>
      <w:r>
        <w:rPr>
          <w:rFonts w:hint="eastAsia" w:ascii="宋体" w:hAnsi="宋体"/>
          <w:szCs w:val="21"/>
        </w:rPr>
        <w:t>十一、安全培训与授权</w:t>
      </w:r>
      <w:bookmarkEnd w:id="1296"/>
      <w:bookmarkEnd w:id="1297"/>
      <w:bookmarkEnd w:id="1298"/>
      <w:bookmarkEnd w:id="1299"/>
    </w:p>
    <w:p>
      <w:pPr>
        <w:spacing w:line="360" w:lineRule="auto"/>
        <w:ind w:firstLine="420" w:firstLineChars="200"/>
        <w:jc w:val="left"/>
        <w:rPr>
          <w:rFonts w:ascii="宋体" w:hAnsi="宋体"/>
          <w:szCs w:val="21"/>
        </w:rPr>
      </w:pPr>
      <w:r>
        <w:rPr>
          <w:rFonts w:hint="eastAsia" w:ascii="宋体" w:hAnsi="宋体"/>
          <w:szCs w:val="21"/>
        </w:rPr>
        <w:t>1．承包人所有特殊工种人员必须持证上岗，发包人和发包人委托的监理公司有权对其进行抽查。承包人要建立特殊工种定期培训和检查计划，这些工种包括但不限于：机动车驾驶员、焊工、起重工、电工等。</w:t>
      </w:r>
    </w:p>
    <w:p>
      <w:pPr>
        <w:spacing w:line="360" w:lineRule="auto"/>
        <w:ind w:firstLine="420" w:firstLineChars="200"/>
        <w:jc w:val="left"/>
        <w:rPr>
          <w:rFonts w:ascii="宋体" w:hAnsi="宋体"/>
          <w:szCs w:val="21"/>
        </w:rPr>
      </w:pPr>
      <w:r>
        <w:rPr>
          <w:rFonts w:hint="eastAsia" w:ascii="宋体" w:hAnsi="宋体"/>
          <w:szCs w:val="21"/>
        </w:rPr>
        <w:t>2．承包人应在特殊工种之外的其他工种中，筛选出高风险工种，并对其开展针对性的专题安全培训。</w:t>
      </w:r>
    </w:p>
    <w:p>
      <w:pPr>
        <w:spacing w:line="360" w:lineRule="auto"/>
        <w:ind w:firstLine="420" w:firstLineChars="200"/>
        <w:jc w:val="left"/>
        <w:rPr>
          <w:rFonts w:ascii="宋体" w:hAnsi="宋体"/>
          <w:szCs w:val="21"/>
        </w:rPr>
      </w:pPr>
      <w:r>
        <w:rPr>
          <w:rFonts w:hint="eastAsia" w:ascii="宋体" w:hAnsi="宋体"/>
          <w:szCs w:val="21"/>
        </w:rPr>
        <w:t>3．承包人应组织 “入场培训”和考核。发包人委托的监理公司有权监督培训、考核情况或组织抽查考核。</w:t>
      </w:r>
    </w:p>
    <w:p>
      <w:pPr>
        <w:spacing w:line="360" w:lineRule="auto"/>
        <w:ind w:firstLine="420" w:firstLineChars="200"/>
        <w:jc w:val="left"/>
        <w:rPr>
          <w:rFonts w:ascii="宋体" w:hAnsi="宋体"/>
          <w:szCs w:val="21"/>
        </w:rPr>
      </w:pPr>
      <w:r>
        <w:rPr>
          <w:rFonts w:hint="eastAsia" w:ascii="宋体" w:hAnsi="宋体"/>
          <w:szCs w:val="21"/>
        </w:rPr>
        <w:t>4．承包人应建立安全培训和考核机制，编制培训教材和培训滚动计划。承包人应组织安全考试/考核，建立培训考核记录，发包人委托的监理公司有权查看这些记录。</w:t>
      </w:r>
    </w:p>
    <w:p>
      <w:pPr>
        <w:spacing w:line="360" w:lineRule="auto"/>
        <w:ind w:firstLine="420" w:firstLineChars="200"/>
        <w:rPr>
          <w:rFonts w:ascii="宋体" w:hAnsi="宋体"/>
          <w:szCs w:val="21"/>
        </w:rPr>
      </w:pPr>
      <w:bookmarkStart w:id="1300" w:name="_Toc532375711"/>
      <w:bookmarkStart w:id="1301" w:name="_Toc247418275"/>
      <w:bookmarkStart w:id="1302" w:name="_Toc239510301"/>
      <w:bookmarkStart w:id="1303" w:name="_Toc247431435"/>
      <w:r>
        <w:rPr>
          <w:rFonts w:hint="eastAsia" w:ascii="宋体" w:hAnsi="宋体"/>
          <w:szCs w:val="21"/>
        </w:rPr>
        <w:t>十二、职业健康与卫生防疫</w:t>
      </w:r>
      <w:bookmarkEnd w:id="1300"/>
      <w:bookmarkEnd w:id="1301"/>
      <w:bookmarkEnd w:id="1302"/>
      <w:bookmarkEnd w:id="1303"/>
    </w:p>
    <w:p>
      <w:pPr>
        <w:spacing w:line="360" w:lineRule="auto"/>
        <w:ind w:firstLine="420" w:firstLineChars="200"/>
        <w:jc w:val="left"/>
        <w:rPr>
          <w:rFonts w:ascii="宋体" w:hAnsi="宋体"/>
          <w:szCs w:val="21"/>
        </w:rPr>
      </w:pPr>
      <w:r>
        <w:rPr>
          <w:rFonts w:hint="eastAsia" w:ascii="宋体" w:hAnsi="宋体"/>
          <w:szCs w:val="21"/>
        </w:rPr>
        <w:t>1．承包人应有特殊健康检查制度，预防有禁忌症患者从事有关职业，如恐高症患者不得从事高空作业，患有心血管疾病的人员不得从事繁重的体力劳动，特殊工种人员的体检应符合国家的规定。</w:t>
      </w:r>
    </w:p>
    <w:p>
      <w:pPr>
        <w:spacing w:line="360" w:lineRule="auto"/>
        <w:ind w:firstLine="420" w:firstLineChars="200"/>
        <w:jc w:val="left"/>
        <w:rPr>
          <w:rFonts w:ascii="宋体" w:hAnsi="宋体"/>
          <w:szCs w:val="21"/>
        </w:rPr>
      </w:pPr>
      <w:r>
        <w:rPr>
          <w:rFonts w:hint="eastAsia" w:ascii="宋体" w:hAnsi="宋体"/>
          <w:szCs w:val="21"/>
        </w:rPr>
        <w:t>2．承包人应保证卫生防疫基本设施的投入，以满足医疗、急救的要求，建立外部医疗支持渠道。</w:t>
      </w:r>
    </w:p>
    <w:p>
      <w:pPr>
        <w:spacing w:line="360" w:lineRule="auto"/>
        <w:ind w:firstLine="420" w:firstLineChars="200"/>
        <w:jc w:val="left"/>
        <w:rPr>
          <w:rFonts w:ascii="宋体" w:hAnsi="宋体"/>
          <w:szCs w:val="21"/>
        </w:rPr>
      </w:pPr>
      <w:r>
        <w:rPr>
          <w:rFonts w:hint="eastAsia" w:ascii="宋体" w:hAnsi="宋体"/>
          <w:szCs w:val="21"/>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pPr>
        <w:spacing w:line="360" w:lineRule="auto"/>
        <w:ind w:firstLine="420" w:firstLineChars="200"/>
        <w:rPr>
          <w:rFonts w:ascii="宋体" w:hAnsi="宋体"/>
          <w:szCs w:val="21"/>
        </w:rPr>
      </w:pPr>
      <w:bookmarkStart w:id="1304" w:name="_Toc532375712"/>
      <w:bookmarkStart w:id="1305" w:name="_Toc239510302"/>
      <w:bookmarkStart w:id="1306" w:name="_Toc247418276"/>
      <w:bookmarkStart w:id="1307" w:name="_Toc247431436"/>
      <w:r>
        <w:rPr>
          <w:rFonts w:hint="eastAsia" w:ascii="宋体" w:hAnsi="宋体"/>
          <w:szCs w:val="21"/>
        </w:rPr>
        <w:t>十三、文明施工与环保要求</w:t>
      </w:r>
      <w:bookmarkEnd w:id="1304"/>
      <w:bookmarkEnd w:id="1305"/>
      <w:bookmarkEnd w:id="1306"/>
      <w:bookmarkEnd w:id="1307"/>
    </w:p>
    <w:p>
      <w:pPr>
        <w:spacing w:line="360" w:lineRule="auto"/>
        <w:ind w:firstLine="420" w:firstLineChars="200"/>
        <w:jc w:val="left"/>
        <w:rPr>
          <w:rFonts w:ascii="宋体" w:hAnsi="宋体"/>
          <w:szCs w:val="21"/>
        </w:rPr>
      </w:pPr>
      <w:r>
        <w:rPr>
          <w:rFonts w:hint="eastAsia" w:ascii="宋体" w:hAnsi="宋体"/>
          <w:szCs w:val="21"/>
        </w:rPr>
        <w:t>1．承包人需制订施工现场的文明施工措施，保持良好的施工现场秩序。施工现场的物料堆放要摆放整齐，安全标志和宣传标志要清楚醒目，废料、废物要分类收集，安全通道要畅通。</w:t>
      </w:r>
    </w:p>
    <w:p>
      <w:pPr>
        <w:spacing w:line="360" w:lineRule="auto"/>
        <w:ind w:firstLine="420" w:firstLineChars="200"/>
        <w:jc w:val="left"/>
        <w:rPr>
          <w:rFonts w:ascii="宋体" w:hAnsi="宋体"/>
          <w:szCs w:val="21"/>
        </w:rPr>
      </w:pPr>
      <w:r>
        <w:rPr>
          <w:rFonts w:hint="eastAsia" w:ascii="宋体" w:hAnsi="宋体"/>
          <w:szCs w:val="21"/>
        </w:rPr>
        <w:t>2．承包人作业时应避免建筑材料抛洒、飞扬、流淌；应尽可能降低噪音、震动。</w:t>
      </w:r>
    </w:p>
    <w:p>
      <w:pPr>
        <w:spacing w:line="360" w:lineRule="auto"/>
        <w:ind w:firstLine="420" w:firstLineChars="200"/>
        <w:jc w:val="left"/>
        <w:rPr>
          <w:rFonts w:ascii="宋体" w:hAnsi="宋体"/>
          <w:szCs w:val="21"/>
        </w:rPr>
      </w:pPr>
      <w:r>
        <w:rPr>
          <w:rFonts w:hint="eastAsia" w:ascii="宋体" w:hAnsi="宋体"/>
          <w:szCs w:val="21"/>
        </w:rPr>
        <w:t>3．承包人应根据实际需要，在施工现场布置临时卫生设施（洗手间、卫生间等），施工作业不破坏环境卫生，不污染现场环境。</w:t>
      </w:r>
    </w:p>
    <w:p>
      <w:pPr>
        <w:spacing w:line="360" w:lineRule="auto"/>
        <w:ind w:firstLine="420" w:firstLineChars="200"/>
        <w:jc w:val="left"/>
        <w:rPr>
          <w:rFonts w:ascii="宋体" w:hAnsi="宋体"/>
          <w:szCs w:val="21"/>
        </w:rPr>
      </w:pPr>
      <w:r>
        <w:rPr>
          <w:rFonts w:hint="eastAsia" w:ascii="宋体" w:hAnsi="宋体"/>
          <w:szCs w:val="21"/>
        </w:rPr>
        <w:t>4．承包人在施工中应充分重视对环境的保护，保护绿色植被，保护古树。施工如需伤害古树，必须报告发包人委托的监理公司，在未得到指令前，禁止擅自伤害古树。</w:t>
      </w:r>
    </w:p>
    <w:p>
      <w:pPr>
        <w:spacing w:line="360" w:lineRule="auto"/>
        <w:ind w:firstLine="420" w:firstLineChars="200"/>
        <w:jc w:val="left"/>
        <w:rPr>
          <w:rFonts w:ascii="宋体" w:hAnsi="宋体"/>
          <w:szCs w:val="21"/>
        </w:rPr>
      </w:pPr>
      <w:r>
        <w:rPr>
          <w:rFonts w:hint="eastAsia" w:ascii="宋体" w:hAnsi="宋体"/>
          <w:szCs w:val="21"/>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pPr>
        <w:spacing w:line="360" w:lineRule="auto"/>
        <w:ind w:firstLine="420" w:firstLineChars="200"/>
        <w:jc w:val="left"/>
        <w:rPr>
          <w:rFonts w:ascii="宋体" w:hAnsi="宋体"/>
          <w:szCs w:val="21"/>
        </w:rPr>
      </w:pPr>
      <w:r>
        <w:rPr>
          <w:rFonts w:hint="eastAsia" w:ascii="宋体" w:hAnsi="宋体"/>
          <w:szCs w:val="21"/>
        </w:rPr>
        <w:t>6．承包人在施工中应禁止向环境，排放工业污水、生活污水、废油或其他有害物质。</w:t>
      </w:r>
    </w:p>
    <w:p>
      <w:pPr>
        <w:spacing w:line="360" w:lineRule="auto"/>
        <w:ind w:firstLine="420" w:firstLineChars="200"/>
        <w:jc w:val="left"/>
        <w:rPr>
          <w:rFonts w:ascii="宋体" w:hAnsi="宋体"/>
          <w:szCs w:val="21"/>
        </w:rPr>
      </w:pPr>
      <w:r>
        <w:rPr>
          <w:rFonts w:hint="eastAsia" w:ascii="宋体" w:hAnsi="宋体"/>
          <w:szCs w:val="21"/>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pPr>
        <w:spacing w:line="360" w:lineRule="auto"/>
        <w:ind w:firstLine="420" w:firstLineChars="200"/>
        <w:rPr>
          <w:rFonts w:ascii="宋体" w:hAnsi="宋体"/>
          <w:szCs w:val="21"/>
        </w:rPr>
      </w:pPr>
      <w:bookmarkStart w:id="1308" w:name="_Toc239510303"/>
      <w:bookmarkStart w:id="1309" w:name="_Toc247431437"/>
      <w:bookmarkStart w:id="1310" w:name="_Toc247418277"/>
      <w:bookmarkStart w:id="1311" w:name="_Toc532375713"/>
      <w:r>
        <w:rPr>
          <w:rFonts w:hint="eastAsia" w:ascii="宋体" w:hAnsi="宋体"/>
          <w:szCs w:val="21"/>
        </w:rPr>
        <w:t>十四、工程风险管理与事故预防</w:t>
      </w:r>
      <w:bookmarkEnd w:id="1308"/>
      <w:bookmarkEnd w:id="1309"/>
      <w:bookmarkEnd w:id="1310"/>
      <w:bookmarkEnd w:id="1311"/>
    </w:p>
    <w:p>
      <w:pPr>
        <w:spacing w:line="360" w:lineRule="auto"/>
        <w:ind w:firstLine="420" w:firstLineChars="200"/>
        <w:jc w:val="left"/>
        <w:rPr>
          <w:rFonts w:ascii="宋体" w:hAnsi="宋体"/>
          <w:szCs w:val="21"/>
        </w:rPr>
      </w:pPr>
      <w:bookmarkStart w:id="1312" w:name="_Toc247431438"/>
      <w:bookmarkStart w:id="1313" w:name="_Toc247418278"/>
      <w:bookmarkStart w:id="1314" w:name="_Toc239510304"/>
      <w:r>
        <w:rPr>
          <w:rFonts w:hint="eastAsia" w:ascii="宋体" w:hAnsi="宋体"/>
          <w:szCs w:val="21"/>
        </w:rPr>
        <w:t>（一）基本要求</w:t>
      </w:r>
      <w:bookmarkEnd w:id="1312"/>
      <w:bookmarkEnd w:id="1313"/>
      <w:bookmarkEnd w:id="1314"/>
    </w:p>
    <w:p>
      <w:pPr>
        <w:spacing w:line="360" w:lineRule="auto"/>
        <w:ind w:firstLine="420" w:firstLineChars="200"/>
        <w:jc w:val="left"/>
        <w:rPr>
          <w:rFonts w:ascii="宋体" w:hAnsi="宋体"/>
          <w:szCs w:val="21"/>
        </w:rPr>
      </w:pPr>
      <w:bookmarkStart w:id="1315" w:name="_Toc532375714"/>
      <w:r>
        <w:rPr>
          <w:rFonts w:hint="eastAsia" w:ascii="宋体" w:hAnsi="宋体"/>
          <w:szCs w:val="21"/>
        </w:rPr>
        <w:t>1．承包人应对施工过程进行全面、深入的危险源识别和风险分析。在施工安全组织设计中提供危险源及重要危险源清单、作业风险分析报告，该报告应包括（但不限于）如下信息：</w:t>
      </w:r>
      <w:bookmarkEnd w:id="1315"/>
    </w:p>
    <w:p>
      <w:pPr>
        <w:spacing w:line="360" w:lineRule="auto"/>
        <w:ind w:firstLine="420" w:firstLineChars="200"/>
        <w:jc w:val="left"/>
        <w:rPr>
          <w:rFonts w:ascii="宋体" w:hAnsi="宋体"/>
          <w:szCs w:val="21"/>
        </w:rPr>
      </w:pPr>
      <w:r>
        <w:rPr>
          <w:rFonts w:hint="eastAsia" w:ascii="宋体" w:hAnsi="宋体"/>
          <w:szCs w:val="21"/>
        </w:rPr>
        <w:t>（1）高风险作业和工种清单：作业名称、类别和数量、主要事故风险。</w:t>
      </w:r>
    </w:p>
    <w:p>
      <w:pPr>
        <w:spacing w:line="360" w:lineRule="auto"/>
        <w:ind w:firstLine="420" w:firstLineChars="200"/>
        <w:jc w:val="left"/>
        <w:rPr>
          <w:rFonts w:ascii="宋体" w:hAnsi="宋体"/>
          <w:szCs w:val="21"/>
        </w:rPr>
      </w:pPr>
      <w:r>
        <w:rPr>
          <w:rFonts w:hint="eastAsia" w:ascii="宋体" w:hAnsi="宋体"/>
          <w:szCs w:val="21"/>
        </w:rPr>
        <w:t>（2）施工能源和机械的种类、数量和主要事故风险。</w:t>
      </w:r>
    </w:p>
    <w:p>
      <w:pPr>
        <w:spacing w:line="360" w:lineRule="auto"/>
        <w:ind w:firstLine="420" w:firstLineChars="200"/>
        <w:jc w:val="left"/>
        <w:rPr>
          <w:rFonts w:ascii="宋体" w:hAnsi="宋体"/>
          <w:szCs w:val="21"/>
        </w:rPr>
      </w:pPr>
      <w:r>
        <w:rPr>
          <w:rFonts w:hint="eastAsia" w:ascii="宋体" w:hAnsi="宋体"/>
          <w:szCs w:val="21"/>
        </w:rPr>
        <w:t>（3）施工作业条件的类型和主要事故风险。</w:t>
      </w:r>
    </w:p>
    <w:p>
      <w:pPr>
        <w:spacing w:line="360" w:lineRule="auto"/>
        <w:ind w:firstLine="420" w:firstLineChars="200"/>
        <w:jc w:val="left"/>
        <w:rPr>
          <w:rFonts w:ascii="宋体" w:hAnsi="宋体"/>
          <w:szCs w:val="21"/>
        </w:rPr>
      </w:pPr>
      <w:r>
        <w:rPr>
          <w:rFonts w:hint="eastAsia" w:ascii="宋体" w:hAnsi="宋体"/>
          <w:szCs w:val="21"/>
        </w:rPr>
        <w:t>（4）主要工艺过程（或施工活动）的类别及其相关的事故风险。</w:t>
      </w:r>
    </w:p>
    <w:p>
      <w:pPr>
        <w:spacing w:line="360" w:lineRule="auto"/>
        <w:ind w:firstLine="420" w:firstLineChars="200"/>
        <w:jc w:val="left"/>
        <w:rPr>
          <w:rFonts w:ascii="宋体" w:hAnsi="宋体"/>
          <w:szCs w:val="21"/>
        </w:rPr>
      </w:pPr>
      <w:r>
        <w:rPr>
          <w:rFonts w:hint="eastAsia" w:ascii="宋体" w:hAnsi="宋体"/>
          <w:szCs w:val="21"/>
        </w:rPr>
        <w:t>（5）主要火灾危险（可燃物、点火源）。</w:t>
      </w:r>
    </w:p>
    <w:p>
      <w:pPr>
        <w:spacing w:line="360" w:lineRule="auto"/>
        <w:ind w:firstLine="420" w:firstLineChars="200"/>
        <w:jc w:val="left"/>
        <w:rPr>
          <w:rFonts w:ascii="宋体" w:hAnsi="宋体"/>
          <w:szCs w:val="21"/>
        </w:rPr>
      </w:pPr>
      <w:r>
        <w:rPr>
          <w:rFonts w:hint="eastAsia" w:ascii="宋体" w:hAnsi="宋体"/>
          <w:szCs w:val="21"/>
        </w:rPr>
        <w:t>（6）主要自然灾害（洪水、大风、雷暴、暴雨、地质灾害等）。</w:t>
      </w:r>
    </w:p>
    <w:p>
      <w:pPr>
        <w:spacing w:line="360" w:lineRule="auto"/>
        <w:ind w:firstLine="420" w:firstLineChars="200"/>
        <w:jc w:val="left"/>
        <w:rPr>
          <w:rFonts w:ascii="宋体" w:hAnsi="宋体"/>
          <w:szCs w:val="21"/>
        </w:rPr>
      </w:pPr>
      <w:r>
        <w:rPr>
          <w:rFonts w:hint="eastAsia" w:ascii="宋体" w:hAnsi="宋体"/>
          <w:szCs w:val="21"/>
        </w:rPr>
        <w:t>（7）主要环境保护事件（有害垃圾、机械的跑冒滴漏、原材料流失、水土流失等）。</w:t>
      </w:r>
    </w:p>
    <w:p>
      <w:pPr>
        <w:spacing w:line="360" w:lineRule="auto"/>
        <w:ind w:firstLine="420" w:firstLineChars="200"/>
        <w:jc w:val="left"/>
        <w:rPr>
          <w:rFonts w:ascii="宋体" w:hAnsi="宋体"/>
          <w:szCs w:val="21"/>
        </w:rPr>
      </w:pPr>
      <w:r>
        <w:rPr>
          <w:rFonts w:hint="eastAsia" w:ascii="宋体" w:hAnsi="宋体"/>
          <w:szCs w:val="21"/>
        </w:rPr>
        <w:t>（8）其他。</w:t>
      </w:r>
    </w:p>
    <w:p>
      <w:pPr>
        <w:spacing w:line="360" w:lineRule="auto"/>
        <w:ind w:firstLine="420" w:firstLineChars="200"/>
        <w:jc w:val="left"/>
        <w:rPr>
          <w:rFonts w:ascii="宋体" w:hAnsi="宋体"/>
          <w:szCs w:val="21"/>
        </w:rPr>
      </w:pPr>
      <w:r>
        <w:rPr>
          <w:rFonts w:hint="eastAsia" w:ascii="宋体" w:hAnsi="宋体"/>
          <w:szCs w:val="21"/>
        </w:rPr>
        <w:t>2．承包人应针对识别出的危险源制定有针对性的事故预防措施并确保在施工中得到有效落实。</w:t>
      </w:r>
    </w:p>
    <w:p>
      <w:pPr>
        <w:spacing w:line="360" w:lineRule="auto"/>
        <w:ind w:firstLine="420" w:firstLineChars="200"/>
        <w:jc w:val="left"/>
        <w:rPr>
          <w:rFonts w:ascii="宋体" w:hAnsi="宋体"/>
          <w:szCs w:val="21"/>
        </w:rPr>
      </w:pPr>
      <w:r>
        <w:rPr>
          <w:rFonts w:hint="eastAsia" w:ascii="宋体" w:hAnsi="宋体"/>
          <w:szCs w:val="21"/>
        </w:rPr>
        <w:t>3．承包人应建立日常施工活动的动态作业风险分析和安全交底制度。该制度应明确规定风险分析的方法、责任和交底的内容、时间及记录。</w:t>
      </w:r>
    </w:p>
    <w:p>
      <w:pPr>
        <w:spacing w:line="360" w:lineRule="auto"/>
        <w:ind w:firstLine="420" w:firstLineChars="200"/>
        <w:jc w:val="left"/>
        <w:rPr>
          <w:rFonts w:ascii="宋体" w:hAnsi="宋体"/>
          <w:szCs w:val="21"/>
        </w:rPr>
      </w:pPr>
      <w:bookmarkStart w:id="1316" w:name="_Toc239510305"/>
      <w:bookmarkStart w:id="1317" w:name="_Toc247418279"/>
      <w:bookmarkStart w:id="1318" w:name="_Toc247431439"/>
      <w:r>
        <w:rPr>
          <w:rFonts w:hint="eastAsia" w:ascii="宋体" w:hAnsi="宋体"/>
          <w:szCs w:val="21"/>
        </w:rPr>
        <w:t>（二）现场作业基本安全条件</w:t>
      </w:r>
      <w:bookmarkEnd w:id="1316"/>
      <w:bookmarkEnd w:id="1317"/>
      <w:bookmarkEnd w:id="1318"/>
    </w:p>
    <w:p>
      <w:pPr>
        <w:spacing w:line="360" w:lineRule="auto"/>
        <w:ind w:firstLine="420" w:firstLineChars="200"/>
        <w:jc w:val="left"/>
        <w:rPr>
          <w:rFonts w:ascii="宋体" w:hAnsi="宋体"/>
          <w:szCs w:val="21"/>
        </w:rPr>
      </w:pPr>
      <w:r>
        <w:rPr>
          <w:rFonts w:hint="eastAsia" w:ascii="宋体" w:hAnsi="宋体"/>
          <w:szCs w:val="21"/>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pPr>
        <w:spacing w:line="360" w:lineRule="auto"/>
        <w:ind w:firstLine="420" w:firstLineChars="200"/>
        <w:rPr>
          <w:rFonts w:ascii="宋体" w:hAnsi="宋体"/>
          <w:szCs w:val="21"/>
        </w:rPr>
      </w:pPr>
      <w:bookmarkStart w:id="1319" w:name="_Toc247418280"/>
      <w:bookmarkStart w:id="1320" w:name="_Toc239510306"/>
      <w:bookmarkStart w:id="1321" w:name="_Toc247431440"/>
      <w:bookmarkStart w:id="1322" w:name="_Toc532375715"/>
      <w:r>
        <w:rPr>
          <w:rFonts w:hint="eastAsia" w:ascii="宋体" w:hAnsi="宋体"/>
          <w:szCs w:val="21"/>
        </w:rPr>
        <w:t>十五、事故报告与应急救援</w:t>
      </w:r>
      <w:bookmarkEnd w:id="1319"/>
      <w:bookmarkEnd w:id="1320"/>
      <w:bookmarkEnd w:id="1321"/>
      <w:bookmarkEnd w:id="1322"/>
    </w:p>
    <w:p>
      <w:pPr>
        <w:spacing w:line="360" w:lineRule="auto"/>
        <w:ind w:firstLine="420" w:firstLineChars="200"/>
        <w:jc w:val="left"/>
        <w:rPr>
          <w:rFonts w:ascii="宋体" w:hAnsi="宋体"/>
          <w:szCs w:val="21"/>
        </w:rPr>
      </w:pPr>
      <w:r>
        <w:rPr>
          <w:rFonts w:hint="eastAsia" w:ascii="宋体" w:hAnsi="宋体"/>
          <w:szCs w:val="21"/>
        </w:rPr>
        <w:t>1．承包人应制定对于未遂事故及以上级别的安全事件和事故，定期报送安全月度快报、季报、年报和各种专项事故报告等。</w:t>
      </w:r>
    </w:p>
    <w:p>
      <w:pPr>
        <w:spacing w:line="360" w:lineRule="auto"/>
        <w:ind w:firstLine="420" w:firstLineChars="200"/>
        <w:jc w:val="left"/>
        <w:rPr>
          <w:rFonts w:ascii="宋体" w:hAnsi="宋体"/>
          <w:szCs w:val="21"/>
        </w:rPr>
      </w:pPr>
      <w:r>
        <w:rPr>
          <w:rFonts w:hint="eastAsia" w:ascii="宋体" w:hAnsi="宋体"/>
          <w:szCs w:val="21"/>
        </w:rPr>
        <w:t>2．承包人应建立安全事故统计记录、未遂事故统计记录、违章统计记录，并根据统计情况进行分析，并就分析结果制定相应的预防措施。</w:t>
      </w:r>
    </w:p>
    <w:p>
      <w:pPr>
        <w:spacing w:line="360" w:lineRule="auto"/>
        <w:ind w:firstLine="420" w:firstLineChars="200"/>
        <w:jc w:val="left"/>
        <w:rPr>
          <w:rFonts w:ascii="宋体" w:hAnsi="宋体"/>
          <w:szCs w:val="21"/>
        </w:rPr>
      </w:pPr>
      <w:r>
        <w:rPr>
          <w:rFonts w:hint="eastAsia" w:ascii="宋体" w:hAnsi="宋体"/>
          <w:szCs w:val="21"/>
        </w:rPr>
        <w:t>3．承包人应建立事故应急救援机制，明确事故处置的基本原则，即现场发生事故时，首先抢救生命，向救援组织报警，并采取措施限制事故扩大。</w:t>
      </w:r>
    </w:p>
    <w:p>
      <w:pPr>
        <w:spacing w:line="360" w:lineRule="auto"/>
        <w:ind w:firstLine="420" w:firstLineChars="200"/>
        <w:jc w:val="left"/>
        <w:rPr>
          <w:rFonts w:ascii="宋体" w:hAnsi="宋体"/>
          <w:szCs w:val="21"/>
        </w:rPr>
      </w:pPr>
      <w:r>
        <w:rPr>
          <w:rFonts w:hint="eastAsia" w:ascii="宋体" w:hAnsi="宋体"/>
          <w:szCs w:val="21"/>
        </w:rPr>
        <w:t>4．承包人应建立相应的应急响应组织，以便能迅速处理突发意外。</w:t>
      </w:r>
    </w:p>
    <w:p>
      <w:pPr>
        <w:spacing w:line="360" w:lineRule="auto"/>
        <w:ind w:firstLine="420" w:firstLineChars="200"/>
        <w:jc w:val="left"/>
        <w:rPr>
          <w:rFonts w:ascii="宋体" w:hAnsi="宋体"/>
          <w:szCs w:val="21"/>
        </w:rPr>
      </w:pPr>
      <w:r>
        <w:rPr>
          <w:rFonts w:hint="eastAsia" w:ascii="宋体" w:hAnsi="宋体"/>
          <w:szCs w:val="21"/>
        </w:rPr>
        <w:t>5．承包人应建立专项应急响应预案，包括重大人身伤亡事故的救护预案、火灾响应预案、“四防”预案（防风、防冻、防雷、防暴雨）、重大疫病防护预案、环境污染防护预案、地质灾害防护预案等。</w:t>
      </w:r>
    </w:p>
    <w:p>
      <w:pPr>
        <w:spacing w:line="360" w:lineRule="auto"/>
        <w:ind w:firstLine="420" w:firstLineChars="200"/>
        <w:jc w:val="left"/>
        <w:rPr>
          <w:rFonts w:ascii="宋体" w:hAnsi="宋体"/>
          <w:szCs w:val="21"/>
        </w:rPr>
      </w:pPr>
      <w:r>
        <w:rPr>
          <w:rFonts w:hint="eastAsia" w:ascii="宋体" w:hAnsi="宋体"/>
          <w:szCs w:val="21"/>
        </w:rPr>
        <w:t>6．承包人应对应急预案进行适当演练，保证应急预案的可操作性。</w:t>
      </w:r>
    </w:p>
    <w:p>
      <w:pPr>
        <w:spacing w:line="360" w:lineRule="auto"/>
        <w:ind w:firstLine="420" w:firstLineChars="200"/>
        <w:jc w:val="left"/>
        <w:rPr>
          <w:rFonts w:ascii="宋体" w:hAnsi="宋体"/>
          <w:szCs w:val="21"/>
        </w:rPr>
      </w:pPr>
      <w:r>
        <w:rPr>
          <w:rFonts w:hint="eastAsia" w:ascii="宋体" w:hAnsi="宋体"/>
          <w:szCs w:val="21"/>
        </w:rPr>
        <w:t>7．在工地的其他施工单位发生重大事故时，承包人应无条件立即配合、支持事故抢险。</w:t>
      </w:r>
    </w:p>
    <w:p>
      <w:pPr>
        <w:spacing w:line="360" w:lineRule="auto"/>
        <w:ind w:firstLine="420" w:firstLineChars="200"/>
        <w:jc w:val="left"/>
        <w:rPr>
          <w:rFonts w:ascii="宋体" w:hAnsi="宋体"/>
          <w:szCs w:val="21"/>
        </w:rPr>
      </w:pPr>
      <w:r>
        <w:rPr>
          <w:rFonts w:hint="eastAsia" w:ascii="宋体" w:hAnsi="宋体"/>
          <w:szCs w:val="21"/>
        </w:rPr>
        <w:t>8．承包人必须为事故处置支付各项费用，包括受伤者的抚恤、补偿等费用，并按合同要求赔偿对发包人造成的损失。</w:t>
      </w:r>
    </w:p>
    <w:p>
      <w:pPr>
        <w:spacing w:line="360" w:lineRule="auto"/>
        <w:ind w:firstLine="420" w:firstLineChars="200"/>
        <w:jc w:val="left"/>
        <w:rPr>
          <w:rFonts w:ascii="宋体" w:hAnsi="宋体"/>
          <w:szCs w:val="21"/>
        </w:rPr>
      </w:pPr>
      <w:r>
        <w:rPr>
          <w:rFonts w:hint="eastAsia" w:ascii="宋体" w:hAnsi="宋体"/>
          <w:szCs w:val="21"/>
        </w:rPr>
        <w:t>9．由于发包人原因而造成的事故，发包人应负责按事故的具体损失情况给予承包人经济赔偿。</w:t>
      </w:r>
    </w:p>
    <w:p>
      <w:pPr>
        <w:spacing w:line="360" w:lineRule="auto"/>
        <w:ind w:firstLine="420" w:firstLineChars="200"/>
        <w:jc w:val="left"/>
        <w:rPr>
          <w:rFonts w:ascii="宋体" w:hAnsi="宋体"/>
          <w:szCs w:val="21"/>
        </w:rPr>
      </w:pPr>
      <w:r>
        <w:rPr>
          <w:rFonts w:hint="eastAsia" w:ascii="宋体" w:hAnsi="宋体"/>
          <w:szCs w:val="21"/>
        </w:rPr>
        <w:t>10．涉及承包人员工的伤害事故，承包人除要报告发包人委托的监理公司外，还应负责按照国家、行业和本单位上级公司的要求，上报事故。</w:t>
      </w:r>
    </w:p>
    <w:p>
      <w:pPr>
        <w:spacing w:line="360" w:lineRule="auto"/>
        <w:ind w:firstLine="420" w:firstLineChars="200"/>
        <w:rPr>
          <w:rFonts w:ascii="宋体" w:hAnsi="宋体"/>
          <w:szCs w:val="21"/>
        </w:rPr>
      </w:pPr>
      <w:bookmarkStart w:id="1323" w:name="_Toc247431441"/>
      <w:bookmarkStart w:id="1324" w:name="_Toc239510307"/>
      <w:bookmarkStart w:id="1325" w:name="_Toc532375716"/>
      <w:bookmarkStart w:id="1326" w:name="_Toc247418281"/>
      <w:r>
        <w:rPr>
          <w:rFonts w:hint="eastAsia" w:ascii="宋体" w:hAnsi="宋体"/>
          <w:szCs w:val="21"/>
        </w:rPr>
        <w:t>十六、安全业绩考核</w:t>
      </w:r>
      <w:bookmarkEnd w:id="1323"/>
      <w:bookmarkEnd w:id="1324"/>
      <w:bookmarkEnd w:id="1325"/>
      <w:bookmarkEnd w:id="1326"/>
    </w:p>
    <w:p>
      <w:pPr>
        <w:spacing w:line="360" w:lineRule="auto"/>
        <w:ind w:firstLine="420" w:firstLineChars="200"/>
        <w:jc w:val="left"/>
        <w:rPr>
          <w:rFonts w:ascii="宋体" w:hAnsi="宋体"/>
          <w:szCs w:val="21"/>
        </w:rPr>
      </w:pPr>
      <w:r>
        <w:rPr>
          <w:rFonts w:hint="eastAsia" w:ascii="宋体" w:hAnsi="宋体"/>
          <w:szCs w:val="21"/>
        </w:rPr>
        <w:t>为了落实安全管理的责任，承包人在施工过程中发生安全事故时，承包人除应按国家有关规定承担责任和处罚外，发包人还将按照以下标准进行考核：</w:t>
      </w:r>
    </w:p>
    <w:tbl>
      <w:tblPr>
        <w:tblStyle w:val="54"/>
        <w:tblW w:w="7005" w:type="dxa"/>
        <w:jc w:val="center"/>
        <w:tblLayout w:type="fixed"/>
        <w:tblCellMar>
          <w:top w:w="0" w:type="dxa"/>
          <w:left w:w="0" w:type="dxa"/>
          <w:bottom w:w="0" w:type="dxa"/>
          <w:right w:w="0" w:type="dxa"/>
        </w:tblCellMar>
      </w:tblPr>
      <w:tblGrid>
        <w:gridCol w:w="3240"/>
        <w:gridCol w:w="3765"/>
      </w:tblGrid>
      <w:tr>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jc w:val="left"/>
              <w:rPr>
                <w:rFonts w:ascii="宋体" w:hAnsi="宋体"/>
                <w:szCs w:val="21"/>
              </w:rPr>
            </w:pPr>
            <w:r>
              <w:rPr>
                <w:rFonts w:hint="eastAsia" w:ascii="宋体" w:hAnsi="宋体"/>
                <w:szCs w:val="21"/>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jc w:val="left"/>
              <w:rPr>
                <w:rFonts w:ascii="宋体" w:hAnsi="宋体"/>
                <w:szCs w:val="21"/>
              </w:rPr>
            </w:pPr>
            <w:r>
              <w:rPr>
                <w:rFonts w:hint="eastAsia" w:ascii="宋体" w:hAnsi="宋体"/>
                <w:szCs w:val="21"/>
              </w:rPr>
              <w:t>违约金额</w:t>
            </w:r>
          </w:p>
        </w:tc>
      </w:tr>
      <w:tr>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jc w:val="left"/>
              <w:rPr>
                <w:rFonts w:ascii="宋体" w:hAnsi="宋体"/>
                <w:szCs w:val="21"/>
              </w:rPr>
            </w:pPr>
            <w:r>
              <w:rPr>
                <w:rFonts w:hint="eastAsia" w:ascii="宋体" w:hAnsi="宋体"/>
                <w:szCs w:val="21"/>
              </w:rPr>
              <w:t>较大事故</w:t>
            </w:r>
          </w:p>
        </w:tc>
        <w:tc>
          <w:tcPr>
            <w:tcW w:w="3765" w:type="dxa"/>
            <w:tcBorders>
              <w:top w:val="single" w:color="auto" w:sz="8" w:space="0"/>
              <w:left w:val="nil"/>
              <w:bottom w:val="single" w:color="auto" w:sz="8" w:space="0"/>
              <w:right w:val="single" w:color="auto" w:sz="8" w:space="0"/>
            </w:tcBorders>
            <w:vAlign w:val="center"/>
          </w:tcPr>
          <w:p>
            <w:pPr>
              <w:spacing w:line="360" w:lineRule="auto"/>
              <w:ind w:firstLine="420" w:firstLineChars="200"/>
              <w:jc w:val="left"/>
              <w:rPr>
                <w:rFonts w:ascii="宋体" w:hAnsi="宋体"/>
                <w:szCs w:val="21"/>
              </w:rPr>
            </w:pPr>
            <w:r>
              <w:rPr>
                <w:rFonts w:hint="eastAsia" w:ascii="宋体" w:hAnsi="宋体"/>
                <w:kern w:val="0"/>
                <w:szCs w:val="21"/>
              </w:rPr>
              <w:t>签约合同价</w:t>
            </w:r>
            <w:r>
              <w:rPr>
                <w:rFonts w:hint="eastAsia" w:ascii="宋体" w:hAnsi="宋体"/>
                <w:szCs w:val="21"/>
              </w:rPr>
              <w:t>的0.5‰</w:t>
            </w:r>
          </w:p>
        </w:tc>
      </w:tr>
      <w:tr>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jc w:val="left"/>
              <w:rPr>
                <w:rFonts w:ascii="宋体" w:hAnsi="宋体"/>
                <w:szCs w:val="21"/>
              </w:rPr>
            </w:pPr>
            <w:r>
              <w:rPr>
                <w:rFonts w:hint="eastAsia" w:ascii="宋体" w:hAnsi="宋体"/>
                <w:szCs w:val="21"/>
              </w:rPr>
              <w:t>重大事故</w:t>
            </w:r>
          </w:p>
        </w:tc>
        <w:tc>
          <w:tcPr>
            <w:tcW w:w="3765" w:type="dxa"/>
            <w:tcBorders>
              <w:top w:val="single" w:color="auto" w:sz="8" w:space="0"/>
              <w:left w:val="nil"/>
              <w:bottom w:val="single" w:color="auto" w:sz="8" w:space="0"/>
              <w:right w:val="single" w:color="auto" w:sz="8" w:space="0"/>
            </w:tcBorders>
            <w:vAlign w:val="center"/>
          </w:tcPr>
          <w:p>
            <w:pPr>
              <w:spacing w:line="360" w:lineRule="auto"/>
              <w:ind w:firstLine="420" w:firstLineChars="200"/>
              <w:jc w:val="left"/>
              <w:rPr>
                <w:rFonts w:ascii="宋体" w:hAnsi="宋体"/>
                <w:szCs w:val="21"/>
              </w:rPr>
            </w:pPr>
            <w:r>
              <w:rPr>
                <w:rFonts w:hint="eastAsia" w:ascii="宋体" w:hAnsi="宋体"/>
                <w:szCs w:val="21"/>
              </w:rPr>
              <w:t>签约合同价的2‰</w:t>
            </w:r>
          </w:p>
        </w:tc>
      </w:tr>
      <w:tr>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jc w:val="left"/>
              <w:rPr>
                <w:rFonts w:ascii="宋体" w:hAnsi="宋体"/>
                <w:szCs w:val="21"/>
              </w:rPr>
            </w:pPr>
            <w:r>
              <w:rPr>
                <w:rFonts w:hint="eastAsia" w:ascii="宋体" w:hAnsi="宋体"/>
                <w:szCs w:val="21"/>
              </w:rPr>
              <w:t>特别重大事故</w:t>
            </w:r>
          </w:p>
        </w:tc>
        <w:tc>
          <w:tcPr>
            <w:tcW w:w="3765" w:type="dxa"/>
            <w:tcBorders>
              <w:top w:val="single" w:color="auto" w:sz="8" w:space="0"/>
              <w:left w:val="nil"/>
              <w:bottom w:val="single" w:color="auto" w:sz="8" w:space="0"/>
              <w:right w:val="single" w:color="auto" w:sz="8" w:space="0"/>
            </w:tcBorders>
            <w:vAlign w:val="center"/>
          </w:tcPr>
          <w:p>
            <w:pPr>
              <w:spacing w:line="360" w:lineRule="auto"/>
              <w:ind w:firstLine="420" w:firstLineChars="200"/>
              <w:jc w:val="left"/>
              <w:rPr>
                <w:rFonts w:ascii="宋体" w:hAnsi="宋体"/>
                <w:szCs w:val="21"/>
              </w:rPr>
            </w:pPr>
            <w:r>
              <w:rPr>
                <w:rFonts w:hint="eastAsia" w:ascii="宋体" w:hAnsi="宋体"/>
                <w:szCs w:val="21"/>
              </w:rPr>
              <w:t>签约合同价的4‰</w:t>
            </w:r>
          </w:p>
        </w:tc>
      </w:tr>
    </w:tbl>
    <w:p>
      <w:pPr>
        <w:spacing w:line="360" w:lineRule="auto"/>
        <w:ind w:firstLine="420" w:firstLineChars="200"/>
        <w:jc w:val="left"/>
        <w:rPr>
          <w:rFonts w:ascii="宋体" w:hAnsi="宋体"/>
          <w:szCs w:val="21"/>
        </w:rPr>
      </w:pPr>
      <w:r>
        <w:rPr>
          <w:rFonts w:hint="eastAsia" w:ascii="宋体" w:hAnsi="宋体"/>
          <w:szCs w:val="21"/>
        </w:rPr>
        <w:t>（1）较大事故，是指造成3人以上10人以下死亡，或者10人以上50人以下重伤，或者1000万元以上5000万元以下直接经济损失的事故；</w:t>
      </w:r>
    </w:p>
    <w:p>
      <w:pPr>
        <w:spacing w:line="360" w:lineRule="auto"/>
        <w:ind w:firstLine="420" w:firstLineChars="200"/>
        <w:jc w:val="left"/>
        <w:rPr>
          <w:rFonts w:ascii="宋体" w:hAnsi="宋体"/>
          <w:szCs w:val="21"/>
        </w:rPr>
      </w:pPr>
      <w:r>
        <w:rPr>
          <w:rFonts w:hint="eastAsia" w:ascii="宋体" w:hAnsi="宋体"/>
          <w:szCs w:val="21"/>
        </w:rPr>
        <w:t>（2）重大事故，是指造成10人以上30人以下死亡，或者50人以上100人以下重伤，或者5000万元以上1亿元以下直接经济损失的事故；</w:t>
      </w:r>
    </w:p>
    <w:p>
      <w:pPr>
        <w:spacing w:line="360" w:lineRule="auto"/>
        <w:ind w:firstLine="420" w:firstLineChars="200"/>
        <w:jc w:val="left"/>
        <w:rPr>
          <w:rFonts w:ascii="宋体" w:hAnsi="宋体"/>
          <w:szCs w:val="21"/>
        </w:rPr>
      </w:pPr>
      <w:r>
        <w:rPr>
          <w:rFonts w:hint="eastAsia" w:ascii="宋体" w:hAnsi="宋体"/>
          <w:szCs w:val="21"/>
        </w:rPr>
        <w:t>（3）特别重大事故，是指造成30人以上死亡，或者100人以上重伤（包括急性工业中毒，下同），或者1亿元以上直接经济损失的事故；</w:t>
      </w:r>
    </w:p>
    <w:p>
      <w:pPr>
        <w:spacing w:line="276" w:lineRule="auto"/>
        <w:ind w:firstLine="420" w:firstLineChars="200"/>
        <w:jc w:val="left"/>
        <w:rPr>
          <w:rFonts w:ascii="宋体" w:hAnsi="宋体"/>
          <w:szCs w:val="21"/>
        </w:rPr>
      </w:pPr>
      <w:r>
        <w:rPr>
          <w:rFonts w:hint="eastAsia" w:ascii="宋体" w:hAnsi="宋体"/>
          <w:szCs w:val="21"/>
        </w:rPr>
        <w:t>（4）所称的“以上”包括本数，所称的“以下”不包括本数。</w:t>
      </w:r>
    </w:p>
    <w:p>
      <w:pPr>
        <w:spacing w:line="276" w:lineRule="auto"/>
        <w:ind w:firstLine="420" w:firstLineChars="200"/>
        <w:jc w:val="left"/>
        <w:rPr>
          <w:rFonts w:ascii="宋体" w:hAnsi="宋体"/>
          <w:szCs w:val="21"/>
        </w:rPr>
      </w:pPr>
      <w:r>
        <w:rPr>
          <w:rFonts w:hint="eastAsia" w:ascii="宋体" w:hAnsi="宋体"/>
          <w:szCs w:val="21"/>
        </w:rPr>
        <w:t>（5）如整个施工过程未发生以上安全事故，则给予承包人建安费总额的1‰的安全奖励。</w:t>
      </w:r>
    </w:p>
    <w:p>
      <w:pPr>
        <w:spacing w:line="276" w:lineRule="auto"/>
        <w:ind w:firstLine="420" w:firstLineChars="200"/>
        <w:jc w:val="left"/>
        <w:rPr>
          <w:rFonts w:ascii="宋体" w:hAnsi="宋体"/>
          <w:szCs w:val="21"/>
        </w:rPr>
      </w:pPr>
      <w:r>
        <w:rPr>
          <w:rFonts w:hint="eastAsia" w:ascii="宋体" w:hAnsi="宋体"/>
          <w:szCs w:val="21"/>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pPr>
        <w:spacing w:line="276" w:lineRule="auto"/>
        <w:ind w:firstLine="420" w:firstLineChars="200"/>
        <w:rPr>
          <w:rFonts w:ascii="宋体" w:hAnsi="宋体"/>
          <w:szCs w:val="21"/>
        </w:rPr>
      </w:pPr>
      <w:bookmarkStart w:id="1327" w:name="_Toc247418282"/>
      <w:bookmarkStart w:id="1328" w:name="_Toc247431442"/>
      <w:bookmarkStart w:id="1329" w:name="_Toc532375717"/>
      <w:bookmarkStart w:id="1330" w:name="_Toc239510308"/>
      <w:r>
        <w:rPr>
          <w:rFonts w:hint="eastAsia" w:ascii="宋体" w:hAnsi="宋体"/>
          <w:szCs w:val="21"/>
        </w:rPr>
        <w:t>十七、协议条款的修订</w:t>
      </w:r>
      <w:bookmarkEnd w:id="1327"/>
      <w:bookmarkEnd w:id="1328"/>
      <w:bookmarkEnd w:id="1329"/>
      <w:bookmarkEnd w:id="1330"/>
    </w:p>
    <w:p>
      <w:pPr>
        <w:spacing w:line="276" w:lineRule="auto"/>
        <w:ind w:firstLine="420" w:firstLineChars="200"/>
        <w:jc w:val="left"/>
        <w:rPr>
          <w:rFonts w:ascii="宋体" w:hAnsi="宋体"/>
          <w:szCs w:val="21"/>
        </w:rPr>
      </w:pPr>
      <w:r>
        <w:rPr>
          <w:rFonts w:hint="eastAsia" w:ascii="宋体" w:hAnsi="宋体"/>
          <w:szCs w:val="21"/>
        </w:rPr>
        <w:t>在项目实施过程中，经双方友好协商，本协议的有关条款也可做出相应的修改。</w:t>
      </w:r>
    </w:p>
    <w:p>
      <w:pPr>
        <w:spacing w:line="276" w:lineRule="auto"/>
        <w:ind w:firstLine="420" w:firstLineChars="200"/>
        <w:jc w:val="left"/>
        <w:rPr>
          <w:rFonts w:ascii="宋体" w:hAnsi="宋体"/>
          <w:szCs w:val="21"/>
        </w:rPr>
      </w:pPr>
      <w:r>
        <w:rPr>
          <w:rFonts w:hint="eastAsia" w:ascii="宋体" w:hAnsi="宋体"/>
          <w:szCs w:val="21"/>
        </w:rPr>
        <w:t>本工程安全管理协议，由发包人、承包人双方在施工承包合同签订后7天内共同签署，作为施工合同附件。</w:t>
      </w:r>
    </w:p>
    <w:p>
      <w:pPr>
        <w:spacing w:line="360" w:lineRule="auto"/>
        <w:ind w:firstLine="420" w:firstLineChars="200"/>
        <w:jc w:val="left"/>
        <w:rPr>
          <w:rFonts w:ascii="宋体" w:hAnsi="宋体"/>
          <w:szCs w:val="21"/>
        </w:rPr>
      </w:pPr>
      <w:r>
        <w:rPr>
          <w:rFonts w:hint="eastAsia" w:ascii="宋体" w:hAnsi="宋体"/>
          <w:szCs w:val="21"/>
        </w:rPr>
        <w:t>发  包  人（公章）：</w:t>
      </w:r>
      <w:r>
        <w:rPr>
          <w:rFonts w:hint="eastAsia" w:ascii="宋体" w:hAnsi="宋体" w:cs="宋体"/>
          <w:szCs w:val="21"/>
          <w:u w:val="single"/>
        </w:rPr>
        <w:t xml:space="preserve">                       </w:t>
      </w:r>
    </w:p>
    <w:p>
      <w:pPr>
        <w:spacing w:line="360" w:lineRule="auto"/>
        <w:ind w:firstLine="420" w:firstLineChars="200"/>
        <w:jc w:val="left"/>
        <w:rPr>
          <w:rFonts w:ascii="宋体" w:hAnsi="宋体"/>
          <w:szCs w:val="21"/>
        </w:rPr>
      </w:pPr>
      <w:r>
        <w:rPr>
          <w:rFonts w:hint="eastAsia" w:ascii="宋体" w:hAnsi="宋体"/>
          <w:szCs w:val="21"/>
        </w:rPr>
        <w:t>法定代表人（签字）：</w:t>
      </w:r>
      <w:r>
        <w:rPr>
          <w:rFonts w:hint="eastAsia" w:ascii="宋体" w:hAnsi="宋体" w:cs="宋体"/>
          <w:szCs w:val="21"/>
          <w:u w:val="single"/>
        </w:rPr>
        <w:t xml:space="preserve">                       </w:t>
      </w:r>
      <w:r>
        <w:rPr>
          <w:rFonts w:hint="eastAsia" w:ascii="宋体" w:hAnsi="宋体"/>
          <w:szCs w:val="21"/>
        </w:rPr>
        <w:t xml:space="preserve">  </w:t>
      </w:r>
    </w:p>
    <w:p>
      <w:pPr>
        <w:spacing w:line="360" w:lineRule="auto"/>
        <w:ind w:firstLine="420" w:firstLineChars="200"/>
        <w:jc w:val="left"/>
        <w:rPr>
          <w:rFonts w:ascii="宋体" w:hAnsi="宋体"/>
          <w:szCs w:val="21"/>
        </w:rPr>
      </w:pPr>
      <w:r>
        <w:rPr>
          <w:rFonts w:hint="eastAsia" w:ascii="宋体" w:hAnsi="宋体"/>
          <w:szCs w:val="21"/>
        </w:rPr>
        <w:t>或其委托代理人（签字）：</w:t>
      </w:r>
      <w:r>
        <w:rPr>
          <w:rFonts w:hint="eastAsia" w:ascii="宋体" w:hAnsi="宋体" w:cs="宋体"/>
          <w:szCs w:val="21"/>
          <w:u w:val="single"/>
        </w:rPr>
        <w:t xml:space="preserve">                   </w:t>
      </w:r>
      <w:r>
        <w:rPr>
          <w:rFonts w:hint="eastAsia" w:ascii="宋体" w:hAnsi="宋体"/>
          <w:szCs w:val="21"/>
        </w:rPr>
        <w:t xml:space="preserve">  </w:t>
      </w:r>
    </w:p>
    <w:p>
      <w:pPr>
        <w:spacing w:line="360" w:lineRule="auto"/>
        <w:ind w:firstLine="420" w:firstLineChars="200"/>
        <w:jc w:val="left"/>
        <w:rPr>
          <w:rFonts w:ascii="宋体" w:hAnsi="宋体"/>
          <w:szCs w:val="21"/>
        </w:rPr>
      </w:pPr>
    </w:p>
    <w:p>
      <w:pPr>
        <w:spacing w:line="360" w:lineRule="auto"/>
        <w:ind w:firstLine="420" w:firstLineChars="200"/>
        <w:jc w:val="left"/>
        <w:rPr>
          <w:rFonts w:ascii="宋体" w:hAnsi="宋体"/>
          <w:kern w:val="0"/>
          <w:szCs w:val="21"/>
        </w:rPr>
      </w:pPr>
      <w:r>
        <w:rPr>
          <w:rFonts w:hint="eastAsia" w:ascii="宋体" w:hAnsi="宋体"/>
          <w:szCs w:val="21"/>
        </w:rPr>
        <w:t>承  包  人（公章）：</w:t>
      </w:r>
      <w:r>
        <w:rPr>
          <w:rFonts w:hint="eastAsia" w:ascii="宋体" w:hAnsi="宋体" w:cs="宋体"/>
          <w:szCs w:val="21"/>
          <w:u w:val="single"/>
        </w:rPr>
        <w:t xml:space="preserve">                       </w:t>
      </w:r>
    </w:p>
    <w:p>
      <w:pPr>
        <w:spacing w:line="360" w:lineRule="auto"/>
        <w:ind w:firstLine="420" w:firstLineChars="200"/>
        <w:jc w:val="left"/>
        <w:rPr>
          <w:rFonts w:ascii="宋体" w:hAnsi="宋体"/>
          <w:szCs w:val="21"/>
        </w:rPr>
      </w:pPr>
      <w:r>
        <w:rPr>
          <w:rFonts w:hint="eastAsia" w:ascii="宋体" w:hAnsi="宋体"/>
          <w:szCs w:val="21"/>
        </w:rPr>
        <w:t>法定代表人（签字）：</w:t>
      </w:r>
      <w:r>
        <w:rPr>
          <w:rFonts w:hint="eastAsia" w:ascii="宋体" w:hAnsi="宋体" w:cs="宋体"/>
          <w:szCs w:val="21"/>
          <w:u w:val="single"/>
        </w:rPr>
        <w:t xml:space="preserve">                       </w:t>
      </w:r>
    </w:p>
    <w:p>
      <w:pPr>
        <w:spacing w:line="360" w:lineRule="auto"/>
        <w:ind w:firstLine="420" w:firstLineChars="200"/>
        <w:jc w:val="left"/>
        <w:rPr>
          <w:rFonts w:ascii="宋体" w:hAnsi="宋体"/>
          <w:kern w:val="0"/>
          <w:szCs w:val="21"/>
        </w:rPr>
      </w:pPr>
      <w:r>
        <w:rPr>
          <w:rFonts w:hint="eastAsia" w:ascii="宋体" w:hAnsi="宋体"/>
          <w:szCs w:val="21"/>
        </w:rPr>
        <w:t>或其委托代理人（签字）：</w:t>
      </w:r>
      <w:r>
        <w:rPr>
          <w:rFonts w:hint="eastAsia" w:ascii="宋体" w:hAnsi="宋体" w:cs="宋体"/>
          <w:szCs w:val="21"/>
          <w:u w:val="single"/>
        </w:rPr>
        <w:t xml:space="preserve">                   </w:t>
      </w:r>
    </w:p>
    <w:p>
      <w:pPr>
        <w:snapToGrid w:val="0"/>
        <w:spacing w:line="360" w:lineRule="auto"/>
        <w:jc w:val="left"/>
        <w:rPr>
          <w:rFonts w:ascii="宋体" w:hAnsi="宋体"/>
          <w:kern w:val="0"/>
          <w:szCs w:val="21"/>
        </w:rPr>
      </w:pPr>
      <w:r>
        <w:rPr>
          <w:rFonts w:hint="eastAsia" w:ascii="宋体" w:hAnsi="宋体"/>
          <w:szCs w:val="21"/>
        </w:rPr>
        <w:br w:type="page"/>
      </w:r>
    </w:p>
    <w:p>
      <w:pPr>
        <w:spacing w:line="480" w:lineRule="auto"/>
        <w:rPr>
          <w:rFonts w:ascii="宋体" w:hAnsi="宋体"/>
          <w:szCs w:val="21"/>
        </w:rPr>
      </w:pPr>
      <w:r>
        <w:rPr>
          <w:rFonts w:hint="eastAsia" w:ascii="宋体" w:hAnsi="宋体"/>
          <w:szCs w:val="21"/>
        </w:rPr>
        <w:t>附件6 保障农民工工资支付协议</w:t>
      </w:r>
    </w:p>
    <w:p>
      <w:pPr>
        <w:spacing w:before="120" w:beforeLines="50" w:after="120" w:afterLines="50" w:line="480" w:lineRule="auto"/>
        <w:jc w:val="center"/>
        <w:rPr>
          <w:rFonts w:ascii="宋体" w:hAnsi="宋体"/>
          <w:szCs w:val="21"/>
        </w:rPr>
      </w:pPr>
      <w:r>
        <w:rPr>
          <w:rFonts w:hint="eastAsia" w:ascii="宋体" w:hAnsi="宋体"/>
          <w:szCs w:val="21"/>
        </w:rPr>
        <w:t>保障农民工工资支付协议</w:t>
      </w:r>
    </w:p>
    <w:p>
      <w:pPr>
        <w:snapToGrid w:val="0"/>
        <w:spacing w:line="480" w:lineRule="auto"/>
        <w:rPr>
          <w:rFonts w:ascii="宋体" w:hAnsi="宋体"/>
          <w:szCs w:val="21"/>
        </w:rPr>
      </w:pPr>
      <w:r>
        <w:rPr>
          <w:rFonts w:hint="eastAsia" w:ascii="宋体" w:hAnsi="宋体"/>
          <w:szCs w:val="21"/>
        </w:rPr>
        <w:t xml:space="preserve"> 发包人：</w:t>
      </w:r>
      <w:r>
        <w:rPr>
          <w:rFonts w:hint="eastAsia" w:ascii="宋体" w:hAnsi="宋体" w:cs="宋体"/>
          <w:szCs w:val="21"/>
          <w:u w:val="single"/>
        </w:rPr>
        <w:t xml:space="preserve">                                 </w:t>
      </w:r>
      <w:r>
        <w:rPr>
          <w:rFonts w:hint="eastAsia" w:ascii="宋体" w:hAnsi="宋体"/>
          <w:szCs w:val="21"/>
        </w:rPr>
        <w:t>（发包人）</w:t>
      </w:r>
    </w:p>
    <w:p>
      <w:pPr>
        <w:snapToGrid w:val="0"/>
        <w:spacing w:line="360" w:lineRule="auto"/>
        <w:rPr>
          <w:rFonts w:ascii="宋体" w:hAnsi="宋体"/>
          <w:szCs w:val="21"/>
        </w:rPr>
      </w:pPr>
      <w:r>
        <w:rPr>
          <w:rFonts w:hint="eastAsia" w:ascii="宋体" w:hAnsi="宋体"/>
          <w:szCs w:val="21"/>
        </w:rPr>
        <w:t xml:space="preserve"> 承包人：</w:t>
      </w:r>
      <w:r>
        <w:rPr>
          <w:rFonts w:hint="eastAsia" w:ascii="宋体" w:hAnsi="宋体" w:cs="宋体"/>
          <w:szCs w:val="21"/>
          <w:u w:val="single"/>
        </w:rPr>
        <w:t xml:space="preserve">                                 </w:t>
      </w:r>
      <w:r>
        <w:rPr>
          <w:rFonts w:hint="eastAsia" w:ascii="宋体" w:hAnsi="宋体"/>
          <w:szCs w:val="21"/>
        </w:rPr>
        <w:t>（承包人）</w:t>
      </w:r>
    </w:p>
    <w:p>
      <w:pPr>
        <w:spacing w:line="360" w:lineRule="auto"/>
        <w:ind w:firstLine="420" w:firstLineChars="200"/>
        <w:rPr>
          <w:rFonts w:ascii="宋体" w:hAnsi="宋体"/>
          <w:szCs w:val="21"/>
        </w:rPr>
      </w:pPr>
      <w:r>
        <w:rPr>
          <w:rFonts w:hint="eastAsia" w:ascii="宋体" w:hAnsi="宋体"/>
          <w:szCs w:val="21"/>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pPr>
        <w:spacing w:line="360" w:lineRule="auto"/>
        <w:ind w:firstLine="420" w:firstLineChars="200"/>
        <w:rPr>
          <w:rFonts w:ascii="宋体" w:hAnsi="宋体"/>
          <w:szCs w:val="21"/>
        </w:rPr>
      </w:pPr>
      <w:r>
        <w:rPr>
          <w:rFonts w:hint="eastAsia" w:ascii="宋体" w:hAnsi="宋体"/>
          <w:szCs w:val="21"/>
        </w:rPr>
        <w:t>一、承包人申报工程进度款时，应对上月已支付工程款用于农民工工资发放的情况进行说明，并附农民工代表按时足额收取了工资的签字确认书。监理单位应对相关情况说明和签字确认书（详附件）进行审查签字后，与工程进度款申报资料一并提交给发包人。发包人审核合格后，才进行当期工程进度款的支付。</w:t>
      </w:r>
    </w:p>
    <w:p>
      <w:pPr>
        <w:spacing w:line="360" w:lineRule="auto"/>
        <w:ind w:firstLine="420" w:firstLineChars="200"/>
        <w:rPr>
          <w:rFonts w:ascii="宋体" w:hAnsi="宋体"/>
          <w:szCs w:val="21"/>
        </w:rPr>
      </w:pPr>
      <w:r>
        <w:rPr>
          <w:rFonts w:hint="eastAsia" w:ascii="宋体" w:hAnsi="宋体"/>
          <w:szCs w:val="21"/>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pPr>
        <w:spacing w:line="360" w:lineRule="auto"/>
        <w:ind w:firstLine="420" w:firstLineChars="200"/>
        <w:rPr>
          <w:rFonts w:ascii="宋体" w:hAnsi="宋体"/>
          <w:szCs w:val="21"/>
        </w:rPr>
      </w:pPr>
      <w:r>
        <w:rPr>
          <w:rFonts w:hint="eastAsia" w:ascii="宋体" w:hAnsi="宋体"/>
          <w:szCs w:val="21"/>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pPr>
        <w:spacing w:line="360" w:lineRule="auto"/>
        <w:ind w:firstLine="420" w:firstLineChars="200"/>
        <w:rPr>
          <w:rFonts w:ascii="宋体" w:hAnsi="宋体"/>
          <w:szCs w:val="21"/>
        </w:rPr>
      </w:pPr>
      <w:r>
        <w:rPr>
          <w:rFonts w:hint="eastAsia" w:ascii="宋体" w:hAnsi="宋体"/>
          <w:szCs w:val="21"/>
        </w:rPr>
        <w:t>四、若发现承包人有下列事项的，发包人在支付当期进度款时暂扣当期应支付进度款5%比例的款项。</w:t>
      </w:r>
      <w:r>
        <w:rPr>
          <w:rFonts w:hint="eastAsia" w:ascii="宋体" w:hAnsi="宋体"/>
          <w:szCs w:val="21"/>
        </w:rPr>
        <w:br w:type="textWrapping"/>
      </w:r>
      <w:r>
        <w:rPr>
          <w:rFonts w:hint="eastAsia" w:ascii="宋体" w:hAnsi="宋体"/>
          <w:szCs w:val="21"/>
        </w:rPr>
        <w:t xml:space="preserve">    （一）现场检查发现项目存在拖欠农民工工资情况并经核查属实的；</w:t>
      </w:r>
    </w:p>
    <w:p>
      <w:pPr>
        <w:spacing w:line="360" w:lineRule="auto"/>
        <w:ind w:firstLine="420" w:firstLineChars="200"/>
        <w:rPr>
          <w:rFonts w:ascii="宋体" w:hAnsi="宋体"/>
          <w:szCs w:val="21"/>
        </w:rPr>
      </w:pPr>
      <w:r>
        <w:rPr>
          <w:rFonts w:hint="eastAsia" w:ascii="宋体" w:hAnsi="宋体"/>
          <w:szCs w:val="21"/>
        </w:rPr>
        <w:t>（二）相关行政管理部门检查发现存在拖欠农民工工资情况并经核查属实的；</w:t>
      </w:r>
      <w:r>
        <w:rPr>
          <w:rFonts w:hint="eastAsia" w:ascii="宋体" w:hAnsi="宋体"/>
          <w:szCs w:val="21"/>
        </w:rPr>
        <w:br w:type="textWrapping"/>
      </w:r>
      <w:r>
        <w:rPr>
          <w:rFonts w:hint="eastAsia" w:ascii="宋体" w:hAnsi="宋体"/>
          <w:szCs w:val="21"/>
        </w:rPr>
        <w:t xml:space="preserve">    （三）有拖欠农民工工资投诉事项并经核查属实的。</w:t>
      </w:r>
      <w:r>
        <w:rPr>
          <w:rFonts w:hint="eastAsia" w:ascii="宋体" w:hAnsi="宋体"/>
          <w:szCs w:val="21"/>
        </w:rPr>
        <w:br w:type="textWrapping"/>
      </w:r>
      <w:r>
        <w:rPr>
          <w:rFonts w:hint="eastAsia" w:ascii="宋体" w:hAnsi="宋体"/>
          <w:szCs w:val="21"/>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pPr>
        <w:tabs>
          <w:tab w:val="left" w:pos="1080"/>
          <w:tab w:val="left" w:pos="1260"/>
          <w:tab w:val="left" w:pos="1440"/>
        </w:tabs>
        <w:spacing w:line="360" w:lineRule="auto"/>
        <w:ind w:firstLine="420" w:firstLineChars="200"/>
        <w:rPr>
          <w:rFonts w:ascii="宋体" w:hAnsi="宋体"/>
          <w:snapToGrid w:val="0"/>
          <w:spacing w:val="-4"/>
          <w:kern w:val="0"/>
          <w:szCs w:val="21"/>
        </w:rPr>
      </w:pPr>
      <w:r>
        <w:rPr>
          <w:rFonts w:hint="eastAsia" w:ascii="宋体" w:hAnsi="宋体"/>
          <w:szCs w:val="21"/>
        </w:rPr>
        <w:t>六、本协议经双方法定代表人或委托代理人签字并加盖公章后生效，履行完毕后自然失效。</w:t>
      </w:r>
    </w:p>
    <w:p>
      <w:pPr>
        <w:spacing w:line="360" w:lineRule="auto"/>
        <w:ind w:firstLine="420" w:firstLineChars="200"/>
        <w:rPr>
          <w:rFonts w:ascii="宋体" w:hAnsi="宋体"/>
          <w:szCs w:val="21"/>
        </w:rPr>
      </w:pPr>
      <w:r>
        <w:rPr>
          <w:rFonts w:hint="eastAsia" w:ascii="宋体" w:hAnsi="宋体"/>
          <w:szCs w:val="21"/>
        </w:rPr>
        <w:t>附件：</w:t>
      </w:r>
    </w:p>
    <w:p>
      <w:pPr>
        <w:spacing w:line="360" w:lineRule="auto"/>
        <w:ind w:firstLine="420" w:firstLineChars="200"/>
        <w:rPr>
          <w:rFonts w:ascii="宋体" w:hAnsi="宋体"/>
          <w:szCs w:val="21"/>
        </w:rPr>
      </w:pPr>
      <w:r>
        <w:rPr>
          <w:rFonts w:hint="eastAsia" w:ascii="宋体" w:hAnsi="宋体"/>
          <w:szCs w:val="21"/>
        </w:rPr>
        <w:t>1、关于农民工工资发放情况的说明表</w:t>
      </w:r>
    </w:p>
    <w:p>
      <w:pPr>
        <w:pStyle w:val="2"/>
        <w:spacing w:line="360" w:lineRule="auto"/>
        <w:ind w:firstLine="420" w:firstLineChars="200"/>
        <w:rPr>
          <w:rFonts w:ascii="宋体" w:hAnsi="宋体"/>
          <w:szCs w:val="21"/>
        </w:rPr>
      </w:pPr>
    </w:p>
    <w:p>
      <w:pPr>
        <w:pStyle w:val="2"/>
        <w:spacing w:line="360" w:lineRule="auto"/>
        <w:ind w:firstLine="420" w:firstLineChars="200"/>
        <w:rPr>
          <w:rFonts w:ascii="宋体" w:hAnsi="宋体"/>
          <w:szCs w:val="21"/>
        </w:rPr>
      </w:pPr>
    </w:p>
    <w:p>
      <w:pPr>
        <w:pStyle w:val="2"/>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（以下无正文）</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pStyle w:val="2"/>
        <w:spacing w:line="360" w:lineRule="auto"/>
        <w:rPr>
          <w:rFonts w:ascii="宋体" w:hAnsi="宋体"/>
          <w:szCs w:val="21"/>
        </w:rPr>
      </w:pPr>
    </w:p>
    <w:p>
      <w:pPr>
        <w:spacing w:line="360" w:lineRule="auto"/>
        <w:rPr>
          <w:rFonts w:ascii="宋体" w:hAnsi="宋体"/>
          <w:szCs w:val="21"/>
        </w:rPr>
      </w:pPr>
      <w:r>
        <w:rPr>
          <w:rFonts w:hint="eastAsia" w:ascii="宋体" w:hAnsi="宋体"/>
          <w:szCs w:val="21"/>
        </w:rPr>
        <w:t>发包人：</w:t>
      </w:r>
      <w:r>
        <w:rPr>
          <w:rFonts w:hint="eastAsia" w:ascii="宋体" w:hAnsi="宋体" w:cs="宋体"/>
          <w:szCs w:val="21"/>
          <w:u w:val="single"/>
        </w:rPr>
        <w:t xml:space="preserve">       </w:t>
      </w:r>
      <w:r>
        <w:rPr>
          <w:rFonts w:hint="eastAsia" w:ascii="宋体" w:hAnsi="宋体"/>
          <w:szCs w:val="21"/>
        </w:rPr>
        <w:t>（发包人）</w:t>
      </w:r>
    </w:p>
    <w:p>
      <w:pPr>
        <w:spacing w:line="360" w:lineRule="auto"/>
        <w:rPr>
          <w:rFonts w:ascii="宋体" w:hAnsi="宋体"/>
          <w:szCs w:val="21"/>
        </w:rPr>
      </w:pPr>
      <w:r>
        <w:rPr>
          <w:rFonts w:hint="eastAsia" w:ascii="宋体" w:hAnsi="宋体"/>
          <w:szCs w:val="21"/>
        </w:rPr>
        <w:t>法定代表人：</w:t>
      </w:r>
      <w:r>
        <w:rPr>
          <w:rFonts w:hint="eastAsia" w:ascii="宋体" w:hAnsi="宋体" w:cs="宋体"/>
          <w:szCs w:val="21"/>
          <w:u w:val="single"/>
        </w:rPr>
        <w:t xml:space="preserve">       </w:t>
      </w:r>
    </w:p>
    <w:p>
      <w:pPr>
        <w:spacing w:line="360" w:lineRule="auto"/>
        <w:rPr>
          <w:rFonts w:ascii="宋体" w:hAnsi="宋体"/>
          <w:szCs w:val="21"/>
        </w:rPr>
      </w:pPr>
      <w:r>
        <w:rPr>
          <w:rFonts w:hint="eastAsia" w:ascii="宋体" w:hAnsi="宋体"/>
          <w:szCs w:val="21"/>
        </w:rPr>
        <w:t>或委托代理人：</w:t>
      </w:r>
      <w:r>
        <w:rPr>
          <w:rFonts w:hint="eastAsia" w:ascii="宋体" w:hAnsi="宋体" w:cs="宋体"/>
          <w:szCs w:val="21"/>
          <w:u w:val="single"/>
        </w:rPr>
        <w:t xml:space="preserve">       </w:t>
      </w:r>
    </w:p>
    <w:p>
      <w:pPr>
        <w:spacing w:line="360" w:lineRule="auto"/>
        <w:rPr>
          <w:rFonts w:ascii="宋体" w:hAnsi="宋体"/>
          <w:szCs w:val="21"/>
        </w:rPr>
      </w:pPr>
      <w:r>
        <w:rPr>
          <w:rFonts w:hint="eastAsia" w:ascii="宋体" w:hAnsi="宋体"/>
          <w:szCs w:val="21"/>
        </w:rPr>
        <w:t>联系人：</w:t>
      </w:r>
      <w:r>
        <w:rPr>
          <w:rFonts w:hint="eastAsia" w:ascii="宋体" w:hAnsi="宋体" w:cs="宋体"/>
          <w:szCs w:val="21"/>
          <w:u w:val="single"/>
        </w:rPr>
        <w:t xml:space="preserve">       </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承包人：</w:t>
      </w:r>
      <w:r>
        <w:rPr>
          <w:rFonts w:hint="eastAsia" w:ascii="宋体" w:hAnsi="宋体" w:cs="宋体"/>
          <w:szCs w:val="21"/>
          <w:u w:val="single"/>
        </w:rPr>
        <w:t xml:space="preserve">       </w:t>
      </w:r>
      <w:r>
        <w:rPr>
          <w:rFonts w:hint="eastAsia" w:ascii="宋体" w:hAnsi="宋体"/>
          <w:szCs w:val="21"/>
        </w:rPr>
        <w:t>（承包人）</w:t>
      </w:r>
    </w:p>
    <w:p>
      <w:pPr>
        <w:spacing w:line="360" w:lineRule="auto"/>
        <w:rPr>
          <w:rFonts w:ascii="宋体" w:hAnsi="宋体"/>
          <w:szCs w:val="21"/>
        </w:rPr>
      </w:pPr>
      <w:r>
        <w:rPr>
          <w:rFonts w:hint="eastAsia" w:ascii="宋体" w:hAnsi="宋体"/>
          <w:szCs w:val="21"/>
        </w:rPr>
        <w:t>法定代表人：</w:t>
      </w:r>
      <w:r>
        <w:rPr>
          <w:rFonts w:hint="eastAsia" w:ascii="宋体" w:hAnsi="宋体" w:cs="宋体"/>
          <w:szCs w:val="21"/>
          <w:u w:val="single"/>
        </w:rPr>
        <w:t xml:space="preserve">       </w:t>
      </w:r>
    </w:p>
    <w:p>
      <w:pPr>
        <w:spacing w:line="360" w:lineRule="auto"/>
        <w:rPr>
          <w:rFonts w:ascii="宋体" w:hAnsi="宋体"/>
          <w:szCs w:val="21"/>
        </w:rPr>
      </w:pPr>
      <w:r>
        <w:rPr>
          <w:rFonts w:hint="eastAsia" w:ascii="宋体" w:hAnsi="宋体"/>
          <w:szCs w:val="21"/>
        </w:rPr>
        <w:t>或委托代理人：</w:t>
      </w:r>
      <w:r>
        <w:rPr>
          <w:rFonts w:hint="eastAsia" w:ascii="宋体" w:hAnsi="宋体" w:cs="宋体"/>
          <w:szCs w:val="21"/>
          <w:u w:val="single"/>
        </w:rPr>
        <w:t xml:space="preserve">       </w:t>
      </w:r>
    </w:p>
    <w:p>
      <w:pPr>
        <w:spacing w:line="360" w:lineRule="auto"/>
        <w:rPr>
          <w:rFonts w:ascii="宋体" w:hAnsi="宋体"/>
          <w:szCs w:val="21"/>
        </w:rPr>
      </w:pPr>
      <w:r>
        <w:rPr>
          <w:rFonts w:hint="eastAsia" w:ascii="宋体" w:hAnsi="宋体"/>
          <w:szCs w:val="21"/>
        </w:rPr>
        <w:t>联系人：</w:t>
      </w:r>
      <w:r>
        <w:rPr>
          <w:rFonts w:hint="eastAsia" w:ascii="宋体" w:hAnsi="宋体" w:cs="宋体"/>
          <w:szCs w:val="21"/>
          <w:u w:val="single"/>
        </w:rPr>
        <w:t xml:space="preserve">       </w:t>
      </w:r>
    </w:p>
    <w:p>
      <w:pPr>
        <w:snapToGrid w:val="0"/>
        <w:spacing w:line="360" w:lineRule="auto"/>
        <w:ind w:firstLine="560"/>
        <w:rPr>
          <w:rFonts w:ascii="宋体" w:hAnsi="宋体"/>
          <w:szCs w:val="21"/>
        </w:rPr>
      </w:pPr>
    </w:p>
    <w:p>
      <w:pPr>
        <w:spacing w:line="480" w:lineRule="auto"/>
        <w:rPr>
          <w:rFonts w:ascii="宋体" w:hAnsi="宋体"/>
          <w:szCs w:val="21"/>
        </w:rPr>
      </w:pPr>
      <w:r>
        <w:rPr>
          <w:rFonts w:hint="eastAsia" w:ascii="宋体" w:hAnsi="宋体"/>
          <w:szCs w:val="21"/>
        </w:rPr>
        <w:br w:type="page"/>
      </w:r>
      <w:r>
        <w:rPr>
          <w:rFonts w:hint="eastAsia" w:ascii="宋体" w:hAnsi="宋体"/>
          <w:szCs w:val="21"/>
        </w:rPr>
        <w:t>保障农民工工资支付协议附件1：</w:t>
      </w:r>
    </w:p>
    <w:p>
      <w:pPr>
        <w:widowControl/>
        <w:snapToGrid w:val="0"/>
        <w:spacing w:after="100" w:afterAutospacing="1" w:line="480" w:lineRule="auto"/>
        <w:jc w:val="center"/>
        <w:rPr>
          <w:rFonts w:ascii="宋体" w:hAnsi="宋体"/>
          <w:szCs w:val="21"/>
        </w:rPr>
      </w:pPr>
      <w:r>
        <w:rPr>
          <w:rFonts w:hint="eastAsia" w:ascii="宋体" w:hAnsi="宋体"/>
          <w:szCs w:val="21"/>
        </w:rPr>
        <w:t>关于农民工工资发放情况的说明表</w:t>
      </w:r>
    </w:p>
    <w:tbl>
      <w:tblPr>
        <w:tblStyle w:val="54"/>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tcPr>
          <w:p>
            <w:pPr>
              <w:widowControl/>
              <w:snapToGrid w:val="0"/>
              <w:spacing w:after="100" w:afterAutospacing="1" w:line="400" w:lineRule="exact"/>
              <w:jc w:val="left"/>
              <w:rPr>
                <w:rFonts w:ascii="宋体" w:hAnsi="宋体"/>
                <w:kern w:val="0"/>
                <w:szCs w:val="21"/>
              </w:rPr>
            </w:pPr>
            <w:r>
              <w:rPr>
                <w:rFonts w:hint="eastAsia" w:ascii="宋体" w:hAnsi="宋体"/>
                <w:kern w:val="0"/>
                <w:szCs w:val="21"/>
              </w:rPr>
              <w:t>工程名称：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36" w:type="dxa"/>
          </w:tcPr>
          <w:p>
            <w:pPr>
              <w:widowControl/>
              <w:snapToGrid w:val="0"/>
              <w:spacing w:after="100" w:afterAutospacing="1" w:line="400" w:lineRule="exact"/>
              <w:rPr>
                <w:rFonts w:ascii="宋体" w:hAnsi="宋体"/>
                <w:kern w:val="0"/>
                <w:szCs w:val="21"/>
              </w:rPr>
            </w:pPr>
            <w:r>
              <w:rPr>
                <w:rFonts w:hint="eastAsia" w:ascii="宋体" w:hAnsi="宋体"/>
                <w:kern w:val="0"/>
                <w:szCs w:val="21"/>
              </w:rPr>
              <w:t>施工单位：</w:t>
            </w:r>
          </w:p>
        </w:tc>
        <w:tc>
          <w:tcPr>
            <w:tcW w:w="6201" w:type="dxa"/>
          </w:tcPr>
          <w:p>
            <w:pPr>
              <w:widowControl/>
              <w:snapToGrid w:val="0"/>
              <w:spacing w:after="100" w:afterAutospacing="1" w:line="400" w:lineRule="exac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tcPr>
          <w:p>
            <w:pPr>
              <w:widowControl/>
              <w:snapToGrid w:val="0"/>
              <w:spacing w:after="100" w:afterAutospacing="1" w:line="400" w:lineRule="exact"/>
              <w:rPr>
                <w:rFonts w:ascii="宋体" w:hAnsi="宋体"/>
                <w:kern w:val="0"/>
                <w:szCs w:val="21"/>
              </w:rPr>
            </w:pPr>
            <w:r>
              <w:rPr>
                <w:rFonts w:hint="eastAsia" w:ascii="宋体" w:hAnsi="宋体"/>
                <w:kern w:val="0"/>
                <w:szCs w:val="21"/>
              </w:rPr>
              <w:t>监理单位：</w:t>
            </w:r>
          </w:p>
        </w:tc>
        <w:tc>
          <w:tcPr>
            <w:tcW w:w="6201" w:type="dxa"/>
          </w:tcPr>
          <w:p>
            <w:pPr>
              <w:widowControl/>
              <w:snapToGrid w:val="0"/>
              <w:spacing w:after="100" w:afterAutospacing="1" w:line="400" w:lineRule="exac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tcPr>
          <w:p>
            <w:pPr>
              <w:widowControl/>
              <w:snapToGrid w:val="0"/>
              <w:spacing w:after="100" w:afterAutospacing="1" w:line="400" w:lineRule="exact"/>
              <w:rPr>
                <w:rFonts w:ascii="宋体" w:hAnsi="宋体"/>
                <w:kern w:val="0"/>
                <w:szCs w:val="21"/>
                <w:u w:val="single"/>
              </w:rPr>
            </w:pPr>
          </w:p>
          <w:p>
            <w:pPr>
              <w:widowControl/>
              <w:snapToGrid w:val="0"/>
              <w:spacing w:after="100" w:afterAutospacing="1" w:line="400" w:lineRule="exact"/>
              <w:rPr>
                <w:rFonts w:ascii="宋体" w:hAnsi="宋体"/>
                <w:kern w:val="0"/>
                <w:szCs w:val="21"/>
              </w:rPr>
            </w:pPr>
            <w:r>
              <w:rPr>
                <w:rFonts w:hint="eastAsia" w:ascii="宋体" w:hAnsi="宋体"/>
                <w:kern w:val="0"/>
                <w:szCs w:val="21"/>
              </w:rPr>
              <w:t>（项目业主单位名称）：</w:t>
            </w:r>
            <w:r>
              <w:rPr>
                <w:rFonts w:hint="eastAsia" w:ascii="宋体" w:hAnsi="宋体"/>
                <w:kern w:val="0"/>
                <w:szCs w:val="21"/>
                <w:u w:val="single"/>
              </w:rPr>
              <w:br w:type="textWrapping"/>
            </w:r>
            <w:r>
              <w:rPr>
                <w:rFonts w:hint="eastAsia" w:ascii="宋体" w:hAnsi="宋体"/>
                <w:kern w:val="0"/>
                <w:szCs w:val="21"/>
              </w:rPr>
              <w:t xml:space="preserve">    我单位负责承建的（工程名称）无拖欠农民工资的情况，贵单位先期支付我单位的工程款已优先用于支付了农民工工资，农民工工资全部按时足额进行了发放，请贵单位予以审核。</w:t>
            </w:r>
            <w:r>
              <w:rPr>
                <w:rFonts w:hint="eastAsia" w:ascii="宋体" w:hAnsi="宋体"/>
                <w:kern w:val="0"/>
                <w:szCs w:val="21"/>
              </w:rPr>
              <w:br w:type="textWrapping"/>
            </w:r>
          </w:p>
          <w:p>
            <w:pPr>
              <w:widowControl/>
              <w:snapToGrid w:val="0"/>
              <w:spacing w:after="100" w:afterAutospacing="1" w:line="400" w:lineRule="exact"/>
              <w:ind w:firstLine="1260" w:firstLineChars="600"/>
              <w:rPr>
                <w:rFonts w:ascii="宋体" w:hAnsi="宋体"/>
                <w:kern w:val="0"/>
                <w:szCs w:val="21"/>
                <w:u w:val="single"/>
              </w:rPr>
            </w:pPr>
            <w:r>
              <w:rPr>
                <w:rFonts w:hint="eastAsia" w:ascii="宋体" w:hAnsi="宋体"/>
                <w:kern w:val="0"/>
                <w:szCs w:val="21"/>
              </w:rPr>
              <w:t>施工单位项目负责人签字（加盖项目章）：</w:t>
            </w:r>
            <w:r>
              <w:rPr>
                <w:rFonts w:hint="eastAsia" w:ascii="宋体" w:hAnsi="宋体"/>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236" w:type="dxa"/>
            <w:vAlign w:val="center"/>
          </w:tcPr>
          <w:p>
            <w:pPr>
              <w:widowControl/>
              <w:snapToGrid w:val="0"/>
              <w:spacing w:after="100" w:afterAutospacing="1" w:line="400" w:lineRule="exact"/>
              <w:jc w:val="center"/>
              <w:rPr>
                <w:rFonts w:ascii="宋体" w:hAnsi="宋体" w:cs="宋体"/>
                <w:kern w:val="0"/>
                <w:szCs w:val="21"/>
              </w:rPr>
            </w:pPr>
            <w:r>
              <w:rPr>
                <w:rFonts w:hint="eastAsia" w:ascii="宋体" w:hAnsi="宋体" w:cs="宋体"/>
                <w:kern w:val="0"/>
                <w:szCs w:val="21"/>
              </w:rPr>
              <w:t>监理单位意见：</w:t>
            </w:r>
          </w:p>
        </w:tc>
        <w:tc>
          <w:tcPr>
            <w:tcW w:w="6201" w:type="dxa"/>
          </w:tcPr>
          <w:p>
            <w:pPr>
              <w:widowControl/>
              <w:snapToGrid w:val="0"/>
              <w:spacing w:after="100" w:afterAutospacing="1" w:line="400" w:lineRule="exact"/>
              <w:rPr>
                <w:rFonts w:ascii="宋体" w:hAnsi="宋体"/>
                <w:kern w:val="0"/>
                <w:szCs w:val="21"/>
                <w:u w:val="single"/>
              </w:rPr>
            </w:pPr>
          </w:p>
          <w:p>
            <w:pPr>
              <w:widowControl/>
              <w:snapToGrid w:val="0"/>
              <w:spacing w:after="100" w:afterAutospacing="1" w:line="400" w:lineRule="exact"/>
              <w:rPr>
                <w:rFonts w:ascii="宋体" w:hAnsi="宋体"/>
                <w:kern w:val="0"/>
                <w:szCs w:val="21"/>
                <w:u w:val="single"/>
              </w:rPr>
            </w:pPr>
            <w:r>
              <w:rPr>
                <w:rFonts w:hint="eastAsia" w:ascii="宋体" w:hAnsi="宋体"/>
                <w:kern w:val="0"/>
                <w:szCs w:val="21"/>
              </w:rPr>
              <w:t xml:space="preserve">             总监签字并加盖项目章：</w:t>
            </w:r>
            <w:r>
              <w:rPr>
                <w:rFonts w:hint="eastAsia" w:ascii="宋体" w:hAnsi="宋体"/>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vAlign w:val="center"/>
          </w:tcPr>
          <w:p>
            <w:pPr>
              <w:widowControl/>
              <w:snapToGrid w:val="0"/>
              <w:spacing w:after="100" w:afterAutospacing="1" w:line="400" w:lineRule="exact"/>
              <w:jc w:val="center"/>
              <w:rPr>
                <w:rFonts w:ascii="宋体" w:hAnsi="宋体"/>
                <w:kern w:val="0"/>
                <w:szCs w:val="21"/>
              </w:rPr>
            </w:pPr>
            <w:r>
              <w:rPr>
                <w:rFonts w:hint="eastAsia" w:ascii="宋体" w:hAnsi="宋体"/>
                <w:kern w:val="0"/>
                <w:szCs w:val="21"/>
              </w:rPr>
              <w:t>工程部项目负责人意见：</w:t>
            </w:r>
          </w:p>
        </w:tc>
        <w:tc>
          <w:tcPr>
            <w:tcW w:w="6201" w:type="dxa"/>
          </w:tcPr>
          <w:p>
            <w:pPr>
              <w:widowControl/>
              <w:snapToGrid w:val="0"/>
              <w:spacing w:after="100" w:afterAutospacing="1" w:line="400" w:lineRule="exact"/>
              <w:rPr>
                <w:rFonts w:ascii="宋体" w:hAnsi="宋体"/>
                <w:kern w:val="0"/>
                <w:szCs w:val="21"/>
                <w:u w:val="single"/>
              </w:rPr>
            </w:pPr>
          </w:p>
          <w:p>
            <w:pPr>
              <w:widowControl/>
              <w:snapToGrid w:val="0"/>
              <w:spacing w:after="100" w:afterAutospacing="1" w:line="400" w:lineRule="exact"/>
              <w:rPr>
                <w:rFonts w:ascii="宋体" w:hAnsi="宋体"/>
                <w:kern w:val="0"/>
                <w:szCs w:val="21"/>
                <w:u w:val="single"/>
              </w:rPr>
            </w:pPr>
            <w:r>
              <w:rPr>
                <w:rFonts w:hint="eastAsia" w:ascii="宋体" w:hAnsi="宋体"/>
                <w:kern w:val="0"/>
                <w:szCs w:val="21"/>
              </w:rPr>
              <w:t xml:space="preserve">                   项目负责人签字：</w:t>
            </w:r>
            <w:r>
              <w:rPr>
                <w:rFonts w:hint="eastAsia" w:ascii="宋体" w:hAnsi="宋体"/>
                <w:kern w:val="0"/>
                <w:szCs w:val="21"/>
                <w:u w:val="single"/>
              </w:rPr>
              <w:t xml:space="preserve">        </w:t>
            </w:r>
          </w:p>
        </w:tc>
      </w:tr>
    </w:tbl>
    <w:p>
      <w:pPr>
        <w:pStyle w:val="4"/>
        <w:spacing w:before="0" w:after="0" w:line="360" w:lineRule="auto"/>
        <w:jc w:val="center"/>
        <w:rPr>
          <w:rFonts w:ascii="宋体" w:cs="仿宋"/>
          <w:bCs/>
          <w:kern w:val="0"/>
          <w:sz w:val="36"/>
          <w:szCs w:val="36"/>
        </w:rPr>
      </w:pPr>
    </w:p>
    <w:p>
      <w:pPr>
        <w:rPr>
          <w:rFonts w:ascii="宋体" w:cs="仿宋"/>
          <w:bCs/>
          <w:kern w:val="0"/>
          <w:sz w:val="36"/>
          <w:szCs w:val="36"/>
        </w:rPr>
      </w:pPr>
    </w:p>
    <w:p>
      <w:pPr>
        <w:pStyle w:val="2"/>
        <w:rPr>
          <w:rFonts w:ascii="宋体" w:cs="仿宋"/>
          <w:bCs/>
          <w:kern w:val="0"/>
          <w:sz w:val="36"/>
          <w:szCs w:val="36"/>
        </w:rPr>
      </w:pPr>
    </w:p>
    <w:p>
      <w:pPr>
        <w:pStyle w:val="3"/>
        <w:rPr>
          <w:rFonts w:ascii="宋体" w:cs="仿宋"/>
          <w:bCs/>
          <w:sz w:val="36"/>
          <w:szCs w:val="36"/>
        </w:rPr>
      </w:pPr>
    </w:p>
    <w:p>
      <w:pPr>
        <w:rPr>
          <w:rFonts w:ascii="宋体" w:cs="仿宋"/>
          <w:bCs/>
          <w:kern w:val="0"/>
          <w:sz w:val="36"/>
          <w:szCs w:val="36"/>
        </w:rPr>
      </w:pPr>
    </w:p>
    <w:p>
      <w:pPr>
        <w:pStyle w:val="2"/>
        <w:rPr>
          <w:rFonts w:ascii="宋体" w:cs="仿宋"/>
          <w:bCs/>
          <w:kern w:val="0"/>
          <w:sz w:val="36"/>
          <w:szCs w:val="36"/>
        </w:rPr>
      </w:pPr>
    </w:p>
    <w:p>
      <w:pPr>
        <w:pStyle w:val="3"/>
        <w:rPr>
          <w:rFonts w:ascii="宋体" w:cs="仿宋"/>
          <w:bCs/>
          <w:sz w:val="36"/>
          <w:szCs w:val="36"/>
        </w:rPr>
      </w:pPr>
    </w:p>
    <w:p>
      <w:pPr>
        <w:rPr>
          <w:rFonts w:ascii="宋体" w:cs="仿宋"/>
          <w:bCs/>
          <w:kern w:val="0"/>
          <w:sz w:val="36"/>
          <w:szCs w:val="36"/>
        </w:rPr>
      </w:pPr>
    </w:p>
    <w:p>
      <w:pPr>
        <w:pStyle w:val="2"/>
        <w:rPr>
          <w:rFonts w:ascii="宋体" w:cs="仿宋"/>
          <w:bCs/>
          <w:kern w:val="0"/>
          <w:sz w:val="36"/>
          <w:szCs w:val="36"/>
        </w:rPr>
      </w:pPr>
    </w:p>
    <w:p>
      <w:pPr>
        <w:pStyle w:val="3"/>
        <w:rPr>
          <w:rFonts w:ascii="宋体" w:cs="仿宋"/>
          <w:bCs/>
          <w:sz w:val="36"/>
          <w:szCs w:val="36"/>
        </w:rPr>
      </w:pPr>
    </w:p>
    <w:p>
      <w:pPr>
        <w:pStyle w:val="4"/>
        <w:spacing w:before="0" w:after="0" w:line="360" w:lineRule="auto"/>
        <w:jc w:val="center"/>
        <w:rPr>
          <w:rFonts w:ascii="宋体" w:cs="仿宋"/>
          <w:bCs/>
          <w:kern w:val="0"/>
          <w:sz w:val="36"/>
          <w:szCs w:val="36"/>
        </w:rPr>
      </w:pPr>
      <w:r>
        <w:rPr>
          <w:rFonts w:hint="eastAsia" w:ascii="宋体" w:cs="仿宋"/>
          <w:bCs/>
          <w:kern w:val="0"/>
          <w:sz w:val="36"/>
          <w:szCs w:val="36"/>
        </w:rPr>
        <w:t>第五章</w:t>
      </w:r>
      <w:bookmarkEnd w:id="492"/>
      <w:bookmarkStart w:id="1331" w:name="_Toc264797305"/>
      <w:bookmarkStart w:id="1332" w:name="_Toc264648085"/>
      <w:bookmarkStart w:id="1333" w:name="_Toc317156909"/>
      <w:bookmarkStart w:id="1334" w:name="_Toc298010390"/>
      <w:r>
        <w:rPr>
          <w:rFonts w:ascii="宋体" w:cs="仿宋"/>
          <w:bCs/>
          <w:kern w:val="0"/>
          <w:sz w:val="36"/>
          <w:szCs w:val="36"/>
        </w:rPr>
        <w:t xml:space="preserve">   </w:t>
      </w:r>
      <w:r>
        <w:rPr>
          <w:rFonts w:hint="eastAsia" w:ascii="宋体" w:cs="仿宋"/>
          <w:bCs/>
          <w:kern w:val="0"/>
          <w:sz w:val="36"/>
          <w:szCs w:val="36"/>
        </w:rPr>
        <w:t>工程量清单</w:t>
      </w:r>
      <w:bookmarkEnd w:id="493"/>
      <w:bookmarkEnd w:id="494"/>
      <w:bookmarkEnd w:id="495"/>
      <w:bookmarkEnd w:id="496"/>
      <w:bookmarkEnd w:id="1331"/>
      <w:bookmarkEnd w:id="1332"/>
      <w:bookmarkEnd w:id="1333"/>
    </w:p>
    <w:bookmarkEnd w:id="1334"/>
    <w:p>
      <w:pPr>
        <w:spacing w:before="120" w:line="360" w:lineRule="auto"/>
        <w:ind w:firstLine="424" w:firstLineChars="202"/>
        <w:rPr>
          <w:rFonts w:ascii="宋体" w:cs="仿宋"/>
          <w:szCs w:val="21"/>
        </w:rPr>
      </w:pPr>
      <w:bookmarkStart w:id="1335" w:name="_Toc298010392"/>
      <w:bookmarkStart w:id="1336" w:name="_Toc322559730"/>
      <w:bookmarkStart w:id="1337" w:name="_Toc325910662"/>
    </w:p>
    <w:p>
      <w:pPr>
        <w:pStyle w:val="4"/>
        <w:spacing w:before="0" w:after="0" w:line="420" w:lineRule="exact"/>
        <w:rPr>
          <w:rFonts w:ascii="宋体" w:cs="仿宋"/>
          <w:sz w:val="20"/>
          <w:u w:val="single"/>
        </w:rPr>
      </w:pPr>
      <w:r>
        <w:rPr>
          <w:rFonts w:hint="eastAsia" w:ascii="宋体" w:hAnsi="宋体" w:cs="宋体"/>
          <w:snapToGrid w:val="0"/>
          <w:kern w:val="0"/>
          <w:sz w:val="24"/>
          <w:szCs w:val="24"/>
        </w:rPr>
        <w:t>在</w:t>
      </w:r>
      <w:r>
        <w:rPr>
          <w:rFonts w:hint="eastAsia" w:ascii="宋体" w:hAnsi="宋体" w:cs="宋体"/>
          <w:kern w:val="0"/>
          <w:sz w:val="24"/>
          <w:szCs w:val="24"/>
        </w:rPr>
        <w:t>重庆绅鹏实业开发有限公司官网（www.cqshenpeng.com）</w:t>
      </w:r>
      <w:r>
        <w:rPr>
          <w:rFonts w:hint="eastAsia" w:ascii="宋体" w:hAnsi="宋体" w:cs="宋体"/>
          <w:snapToGrid w:val="0"/>
          <w:kern w:val="0"/>
          <w:sz w:val="24"/>
          <w:szCs w:val="24"/>
        </w:rPr>
        <w:t>上下载。</w:t>
      </w: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pStyle w:val="4"/>
        <w:numPr>
          <w:ilvl w:val="0"/>
          <w:numId w:val="6"/>
        </w:numPr>
        <w:spacing w:before="0" w:after="0" w:line="360" w:lineRule="auto"/>
        <w:jc w:val="center"/>
        <w:rPr>
          <w:rFonts w:ascii="宋体" w:cs="仿宋"/>
          <w:bCs/>
          <w:kern w:val="0"/>
          <w:sz w:val="36"/>
          <w:szCs w:val="36"/>
        </w:rPr>
      </w:pPr>
      <w:bookmarkStart w:id="1338" w:name="_Toc11012"/>
      <w:bookmarkStart w:id="1339" w:name="_Toc330980513"/>
      <w:r>
        <w:rPr>
          <w:rFonts w:hint="eastAsia" w:ascii="宋体" w:cs="仿宋"/>
          <w:bCs/>
          <w:kern w:val="0"/>
          <w:sz w:val="36"/>
          <w:szCs w:val="36"/>
        </w:rPr>
        <w:t>图纸</w:t>
      </w:r>
    </w:p>
    <w:p>
      <w:r>
        <w:rPr>
          <w:rFonts w:hint="eastAsia" w:ascii="宋体" w:hAnsi="宋体" w:cs="宋体"/>
          <w:snapToGrid w:val="0"/>
          <w:kern w:val="0"/>
          <w:sz w:val="24"/>
          <w:szCs w:val="24"/>
        </w:rPr>
        <w:t>在</w:t>
      </w:r>
      <w:r>
        <w:rPr>
          <w:rFonts w:hint="eastAsia" w:ascii="宋体" w:hAnsi="宋体" w:cs="宋体"/>
          <w:kern w:val="0"/>
          <w:sz w:val="24"/>
          <w:szCs w:val="24"/>
        </w:rPr>
        <w:t>重庆绅鹏实业开发有限公司官网（www.cqshenpeng.com）</w:t>
      </w:r>
      <w:r>
        <w:rPr>
          <w:rFonts w:hint="eastAsia" w:ascii="宋体" w:hAnsi="宋体" w:cs="宋体"/>
          <w:snapToGrid w:val="0"/>
          <w:kern w:val="0"/>
          <w:sz w:val="24"/>
          <w:szCs w:val="24"/>
        </w:rPr>
        <w:t>上下载。</w:t>
      </w:r>
    </w:p>
    <w:p>
      <w:pPr>
        <w:pStyle w:val="4"/>
        <w:spacing w:before="0" w:after="0" w:line="360" w:lineRule="auto"/>
        <w:jc w:val="center"/>
        <w:rPr>
          <w:rFonts w:ascii="宋体" w:cs="仿宋"/>
          <w:bCs/>
          <w:kern w:val="0"/>
          <w:sz w:val="36"/>
          <w:szCs w:val="36"/>
        </w:rPr>
      </w:pPr>
    </w:p>
    <w:p>
      <w:pPr>
        <w:rPr>
          <w:rFonts w:ascii="宋体" w:cs="仿宋"/>
          <w:bCs/>
          <w:kern w:val="0"/>
          <w:sz w:val="36"/>
          <w:szCs w:val="36"/>
        </w:rPr>
      </w:pPr>
    </w:p>
    <w:p>
      <w:pPr>
        <w:pStyle w:val="2"/>
        <w:rPr>
          <w:rFonts w:ascii="宋体" w:cs="仿宋"/>
          <w:bCs/>
          <w:kern w:val="0"/>
          <w:sz w:val="36"/>
          <w:szCs w:val="36"/>
        </w:rPr>
      </w:pPr>
    </w:p>
    <w:p>
      <w:pPr>
        <w:pStyle w:val="3"/>
        <w:rPr>
          <w:rFonts w:ascii="宋体" w:cs="仿宋"/>
          <w:bCs/>
          <w:sz w:val="36"/>
          <w:szCs w:val="36"/>
        </w:rPr>
      </w:pPr>
    </w:p>
    <w:p>
      <w:pPr>
        <w:rPr>
          <w:rFonts w:ascii="宋体" w:cs="仿宋"/>
          <w:bCs/>
          <w:kern w:val="0"/>
          <w:sz w:val="36"/>
          <w:szCs w:val="36"/>
        </w:rPr>
      </w:pPr>
    </w:p>
    <w:p>
      <w:pPr>
        <w:pStyle w:val="2"/>
        <w:rPr>
          <w:rFonts w:ascii="宋体" w:cs="仿宋"/>
          <w:bCs/>
          <w:kern w:val="0"/>
          <w:sz w:val="36"/>
          <w:szCs w:val="36"/>
        </w:rPr>
      </w:pPr>
    </w:p>
    <w:p>
      <w:pPr>
        <w:pStyle w:val="3"/>
        <w:rPr>
          <w:rFonts w:ascii="宋体" w:cs="仿宋"/>
          <w:bCs/>
          <w:sz w:val="36"/>
          <w:szCs w:val="36"/>
        </w:rPr>
      </w:pPr>
    </w:p>
    <w:p>
      <w:pPr>
        <w:rPr>
          <w:rFonts w:ascii="宋体" w:cs="仿宋"/>
          <w:bCs/>
          <w:kern w:val="0"/>
          <w:sz w:val="36"/>
          <w:szCs w:val="36"/>
        </w:rPr>
      </w:pPr>
    </w:p>
    <w:p>
      <w:pPr>
        <w:pStyle w:val="2"/>
        <w:rPr>
          <w:rFonts w:ascii="宋体" w:cs="仿宋"/>
          <w:bCs/>
          <w:kern w:val="0"/>
          <w:sz w:val="36"/>
          <w:szCs w:val="36"/>
        </w:rPr>
      </w:pPr>
    </w:p>
    <w:p>
      <w:pPr>
        <w:pStyle w:val="3"/>
        <w:rPr>
          <w:rFonts w:ascii="宋体" w:cs="仿宋"/>
          <w:bCs/>
          <w:sz w:val="36"/>
          <w:szCs w:val="36"/>
        </w:rPr>
      </w:pPr>
    </w:p>
    <w:p>
      <w:pPr>
        <w:rPr>
          <w:rFonts w:ascii="宋体" w:cs="仿宋"/>
          <w:bCs/>
          <w:kern w:val="0"/>
          <w:sz w:val="36"/>
          <w:szCs w:val="36"/>
        </w:rPr>
      </w:pPr>
    </w:p>
    <w:p>
      <w:pPr>
        <w:pStyle w:val="2"/>
        <w:rPr>
          <w:rFonts w:ascii="宋体" w:cs="仿宋"/>
          <w:bCs/>
          <w:kern w:val="0"/>
          <w:sz w:val="36"/>
          <w:szCs w:val="36"/>
        </w:rPr>
      </w:pPr>
    </w:p>
    <w:p>
      <w:pPr>
        <w:pStyle w:val="3"/>
        <w:rPr>
          <w:rFonts w:ascii="宋体" w:cs="仿宋"/>
          <w:bCs/>
          <w:sz w:val="36"/>
          <w:szCs w:val="36"/>
        </w:rPr>
      </w:pPr>
    </w:p>
    <w:p>
      <w:pPr>
        <w:rPr>
          <w:rFonts w:ascii="宋体" w:cs="仿宋"/>
          <w:bCs/>
          <w:kern w:val="0"/>
          <w:sz w:val="36"/>
          <w:szCs w:val="36"/>
        </w:rPr>
      </w:pPr>
    </w:p>
    <w:p>
      <w:pPr>
        <w:pStyle w:val="2"/>
        <w:rPr>
          <w:rFonts w:ascii="宋体" w:cs="仿宋"/>
          <w:bCs/>
          <w:kern w:val="0"/>
          <w:sz w:val="36"/>
          <w:szCs w:val="36"/>
        </w:rPr>
      </w:pPr>
    </w:p>
    <w:p>
      <w:pPr>
        <w:pStyle w:val="3"/>
        <w:rPr>
          <w:rFonts w:ascii="宋体" w:cs="仿宋"/>
          <w:bCs/>
          <w:sz w:val="36"/>
          <w:szCs w:val="36"/>
        </w:rPr>
      </w:pPr>
    </w:p>
    <w:p>
      <w:pPr>
        <w:rPr>
          <w:rFonts w:ascii="宋体" w:cs="仿宋"/>
          <w:bCs/>
          <w:kern w:val="0"/>
          <w:sz w:val="36"/>
          <w:szCs w:val="36"/>
        </w:rPr>
      </w:pPr>
    </w:p>
    <w:p>
      <w:pPr>
        <w:pStyle w:val="2"/>
        <w:rPr>
          <w:rFonts w:ascii="宋体" w:cs="仿宋"/>
          <w:bCs/>
          <w:kern w:val="0"/>
          <w:sz w:val="36"/>
          <w:szCs w:val="36"/>
        </w:rPr>
      </w:pPr>
    </w:p>
    <w:p>
      <w:pPr>
        <w:pStyle w:val="3"/>
        <w:rPr>
          <w:rFonts w:ascii="宋体" w:cs="仿宋"/>
          <w:bCs/>
          <w:sz w:val="36"/>
          <w:szCs w:val="36"/>
        </w:rPr>
      </w:pPr>
    </w:p>
    <w:p>
      <w:pPr>
        <w:rPr>
          <w:rFonts w:ascii="宋体" w:cs="仿宋"/>
          <w:bCs/>
          <w:kern w:val="0"/>
          <w:sz w:val="36"/>
          <w:szCs w:val="36"/>
        </w:rPr>
      </w:pPr>
    </w:p>
    <w:p>
      <w:pPr>
        <w:pStyle w:val="2"/>
        <w:rPr>
          <w:rFonts w:ascii="宋体" w:cs="仿宋"/>
          <w:bCs/>
          <w:kern w:val="0"/>
          <w:sz w:val="36"/>
          <w:szCs w:val="36"/>
        </w:rPr>
      </w:pPr>
    </w:p>
    <w:p>
      <w:pPr>
        <w:pStyle w:val="3"/>
        <w:rPr>
          <w:rFonts w:ascii="宋体" w:cs="仿宋"/>
          <w:bCs/>
          <w:sz w:val="36"/>
          <w:szCs w:val="36"/>
        </w:rPr>
      </w:pPr>
    </w:p>
    <w:p>
      <w:pPr>
        <w:rPr>
          <w:rFonts w:ascii="宋体" w:cs="仿宋"/>
          <w:bCs/>
          <w:kern w:val="0"/>
          <w:sz w:val="36"/>
          <w:szCs w:val="36"/>
        </w:rPr>
      </w:pPr>
    </w:p>
    <w:p>
      <w:pPr>
        <w:pStyle w:val="2"/>
        <w:rPr>
          <w:rFonts w:ascii="宋体" w:cs="仿宋"/>
          <w:bCs/>
          <w:kern w:val="0"/>
          <w:sz w:val="36"/>
          <w:szCs w:val="36"/>
        </w:rPr>
      </w:pPr>
    </w:p>
    <w:p>
      <w:pPr>
        <w:pStyle w:val="3"/>
        <w:rPr>
          <w:rFonts w:ascii="宋体" w:cs="仿宋"/>
          <w:bCs/>
          <w:sz w:val="36"/>
          <w:szCs w:val="36"/>
        </w:rPr>
      </w:pPr>
    </w:p>
    <w:p>
      <w:pPr>
        <w:rPr>
          <w:rFonts w:ascii="宋体" w:cs="仿宋"/>
          <w:bCs/>
          <w:kern w:val="0"/>
          <w:sz w:val="36"/>
          <w:szCs w:val="36"/>
        </w:rPr>
      </w:pPr>
    </w:p>
    <w:p>
      <w:pPr>
        <w:pStyle w:val="4"/>
        <w:spacing w:before="0" w:after="0" w:line="360" w:lineRule="auto"/>
        <w:jc w:val="center"/>
        <w:rPr>
          <w:rFonts w:ascii="宋体" w:cs="仿宋"/>
          <w:bCs/>
          <w:kern w:val="0"/>
          <w:sz w:val="36"/>
          <w:szCs w:val="36"/>
        </w:rPr>
      </w:pPr>
    </w:p>
    <w:p>
      <w:pPr>
        <w:pStyle w:val="4"/>
        <w:spacing w:before="0" w:after="0" w:line="360" w:lineRule="auto"/>
        <w:jc w:val="center"/>
        <w:rPr>
          <w:rFonts w:ascii="宋体" w:cs="仿宋"/>
          <w:bCs/>
          <w:kern w:val="0"/>
          <w:sz w:val="36"/>
          <w:szCs w:val="36"/>
        </w:rPr>
      </w:pPr>
      <w:r>
        <w:rPr>
          <w:rFonts w:ascii="宋体" w:cs="仿宋"/>
          <w:bCs/>
          <w:kern w:val="0"/>
          <w:sz w:val="36"/>
          <w:szCs w:val="36"/>
        </w:rPr>
        <w:t xml:space="preserve"> </w:t>
      </w:r>
      <w:bookmarkEnd w:id="1338"/>
      <w:bookmarkEnd w:id="1339"/>
      <w:r>
        <w:rPr>
          <w:rFonts w:hint="eastAsia" w:ascii="宋体" w:cs="仿宋"/>
          <w:bCs/>
          <w:kern w:val="0"/>
          <w:sz w:val="36"/>
          <w:szCs w:val="36"/>
        </w:rPr>
        <w:t>第七章</w:t>
      </w:r>
      <w:r>
        <w:rPr>
          <w:rFonts w:ascii="宋体" w:cs="仿宋"/>
          <w:bCs/>
          <w:kern w:val="0"/>
          <w:sz w:val="36"/>
          <w:szCs w:val="36"/>
        </w:rPr>
        <w:t xml:space="preserve"> </w:t>
      </w:r>
      <w:r>
        <w:rPr>
          <w:rFonts w:hint="eastAsia" w:ascii="宋体" w:cs="仿宋"/>
          <w:bCs/>
          <w:kern w:val="0"/>
          <w:sz w:val="36"/>
          <w:szCs w:val="36"/>
        </w:rPr>
        <w:t>技术标准和要求</w:t>
      </w:r>
    </w:p>
    <w:p>
      <w:pPr>
        <w:spacing w:line="360" w:lineRule="auto"/>
        <w:ind w:firstLine="407" w:firstLineChars="194"/>
        <w:rPr>
          <w:rFonts w:ascii="宋体" w:hAnsi="宋体" w:cs="宋体"/>
        </w:rPr>
      </w:pPr>
    </w:p>
    <w:p>
      <w:pPr>
        <w:adjustRightInd w:val="0"/>
        <w:snapToGrid w:val="0"/>
        <w:spacing w:line="300" w:lineRule="auto"/>
        <w:ind w:firstLine="420" w:firstLineChars="200"/>
        <w:rPr>
          <w:rFonts w:ascii="宋体" w:hAnsi="宋体"/>
          <w:color w:val="000000"/>
          <w:szCs w:val="21"/>
        </w:rPr>
      </w:pPr>
      <w:r>
        <w:rPr>
          <w:rFonts w:hint="eastAsia" w:ascii="宋体" w:hAnsi="宋体"/>
          <w:color w:val="000000"/>
          <w:szCs w:val="21"/>
        </w:rPr>
        <w:t>一、技术标准和要求以本工程设计施工图为准。</w:t>
      </w:r>
    </w:p>
    <w:p>
      <w:pPr>
        <w:adjustRightInd w:val="0"/>
        <w:snapToGrid w:val="0"/>
        <w:spacing w:line="300" w:lineRule="auto"/>
        <w:ind w:firstLine="420" w:firstLineChars="200"/>
        <w:rPr>
          <w:rFonts w:ascii="宋体" w:hAnsi="宋体"/>
          <w:color w:val="000000"/>
          <w:szCs w:val="21"/>
        </w:rPr>
      </w:pPr>
      <w:r>
        <w:rPr>
          <w:rFonts w:hint="eastAsia" w:ascii="宋体" w:hAnsi="宋体"/>
          <w:color w:val="000000"/>
          <w:szCs w:val="21"/>
        </w:rPr>
        <w:t>二、按国家及重庆市相关设计、施工验收规范及标准执行。</w:t>
      </w:r>
    </w:p>
    <w:p>
      <w:pPr>
        <w:rPr>
          <w:rFonts w:ascii="宋体" w:cs="仿宋"/>
        </w:rPr>
      </w:pPr>
    </w:p>
    <w:p>
      <w:pPr>
        <w:pStyle w:val="4"/>
        <w:spacing w:before="0" w:after="0" w:line="360" w:lineRule="auto"/>
        <w:rPr>
          <w:rFonts w:ascii="宋体" w:cs="仿宋"/>
          <w:bCs/>
          <w:kern w:val="0"/>
          <w:sz w:val="32"/>
          <w:szCs w:val="44"/>
        </w:rPr>
      </w:pPr>
      <w:bookmarkStart w:id="1340" w:name="_Toc330980514"/>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bookmarkEnd w:id="68"/>
    <w:bookmarkEnd w:id="69"/>
    <w:bookmarkEnd w:id="451"/>
    <w:bookmarkEnd w:id="1335"/>
    <w:bookmarkEnd w:id="1336"/>
    <w:bookmarkEnd w:id="1337"/>
    <w:bookmarkEnd w:id="1340"/>
    <w:p>
      <w:pPr>
        <w:rPr>
          <w:rFonts w:hAnsi="宋体"/>
          <w:b/>
          <w:snapToGrid w:val="0"/>
          <w:sz w:val="28"/>
          <w:szCs w:val="24"/>
        </w:rPr>
      </w:pPr>
    </w:p>
    <w:p>
      <w:pPr>
        <w:rPr>
          <w:rFonts w:hAnsi="宋体"/>
          <w:b/>
          <w:snapToGrid w:val="0"/>
          <w:sz w:val="28"/>
          <w:szCs w:val="24"/>
        </w:rPr>
      </w:pPr>
    </w:p>
    <w:p>
      <w:pPr>
        <w:rPr>
          <w:rFonts w:hAnsi="宋体"/>
          <w:b/>
          <w:snapToGrid w:val="0"/>
          <w:sz w:val="28"/>
          <w:szCs w:val="24"/>
        </w:rPr>
      </w:pPr>
    </w:p>
    <w:p>
      <w:pPr>
        <w:pStyle w:val="4"/>
        <w:spacing w:before="0" w:after="0" w:line="600" w:lineRule="exact"/>
        <w:jc w:val="center"/>
        <w:rPr>
          <w:rFonts w:ascii="宋体" w:hAnsi="宋体" w:cs="宋体"/>
          <w:kern w:val="0"/>
          <w:sz w:val="36"/>
          <w:szCs w:val="36"/>
        </w:rPr>
      </w:pPr>
      <w:bookmarkStart w:id="1341" w:name="_Toc460945901"/>
    </w:p>
    <w:p>
      <w:pPr>
        <w:pStyle w:val="4"/>
        <w:spacing w:before="0" w:after="0" w:line="600" w:lineRule="exact"/>
        <w:jc w:val="center"/>
        <w:rPr>
          <w:rFonts w:ascii="宋体"/>
          <w:sz w:val="36"/>
          <w:szCs w:val="36"/>
        </w:rPr>
      </w:pPr>
      <w:r>
        <w:rPr>
          <w:rFonts w:hint="eastAsia" w:ascii="宋体" w:hAnsi="宋体" w:cs="宋体"/>
          <w:kern w:val="0"/>
          <w:sz w:val="36"/>
          <w:szCs w:val="36"/>
        </w:rPr>
        <w:t>第八章</w:t>
      </w:r>
      <w:r>
        <w:rPr>
          <w:rFonts w:ascii="宋体" w:hAnsi="宋体" w:cs="宋体"/>
          <w:kern w:val="0"/>
          <w:sz w:val="36"/>
          <w:szCs w:val="36"/>
        </w:rPr>
        <w:t xml:space="preserve"> </w:t>
      </w:r>
      <w:r>
        <w:rPr>
          <w:rFonts w:hint="eastAsia" w:ascii="宋体" w:hAnsi="宋体" w:cs="宋体"/>
          <w:kern w:val="0"/>
          <w:sz w:val="36"/>
          <w:szCs w:val="36"/>
        </w:rPr>
        <w:t>投标文件格式</w:t>
      </w:r>
      <w:bookmarkEnd w:id="1341"/>
    </w:p>
    <w:p>
      <w:pPr>
        <w:spacing w:line="360" w:lineRule="auto"/>
        <w:rPr>
          <w:rFonts w:ascii="宋体" w:hAnsi="宋体"/>
          <w:b/>
        </w:rPr>
      </w:pPr>
      <w:bookmarkStart w:id="1342" w:name="_Toc13640"/>
      <w:bookmarkStart w:id="1343" w:name="_Toc437509472"/>
      <w:bookmarkStart w:id="1344" w:name="_Toc438127590"/>
      <w:r>
        <w:rPr>
          <w:rFonts w:hint="eastAsia" w:ascii="宋体" w:hAnsi="宋体"/>
          <w:b/>
        </w:rPr>
        <w:t>一、投标保函部分（适用于投标保证金采用投标保函形式的）</w:t>
      </w:r>
    </w:p>
    <w:p>
      <w:pPr>
        <w:spacing w:line="360" w:lineRule="auto"/>
        <w:rPr>
          <w:rFonts w:ascii="宋体" w:hAnsi="宋体"/>
          <w:b/>
        </w:rPr>
      </w:pPr>
      <w:r>
        <w:rPr>
          <w:rFonts w:ascii="宋体" w:hAnsi="宋体"/>
          <w:b/>
        </w:rPr>
        <w:t>二、投标函部分</w:t>
      </w:r>
    </w:p>
    <w:p>
      <w:pPr>
        <w:spacing w:line="360" w:lineRule="auto"/>
        <w:ind w:firstLine="420" w:firstLineChars="200"/>
        <w:rPr>
          <w:rFonts w:ascii="宋体" w:hAnsi="宋体"/>
        </w:rPr>
      </w:pPr>
      <w:r>
        <w:rPr>
          <w:rFonts w:ascii="宋体" w:hAnsi="宋体"/>
        </w:rPr>
        <w:t>（一）投标函</w:t>
      </w:r>
    </w:p>
    <w:p>
      <w:pPr>
        <w:spacing w:line="360" w:lineRule="auto"/>
        <w:ind w:firstLine="420" w:firstLineChars="200"/>
        <w:rPr>
          <w:rFonts w:ascii="宋体" w:hAnsi="宋体"/>
        </w:rPr>
      </w:pPr>
      <w:r>
        <w:rPr>
          <w:rFonts w:ascii="宋体" w:hAnsi="宋体"/>
        </w:rPr>
        <w:t>（二）投标函附录</w:t>
      </w:r>
    </w:p>
    <w:p>
      <w:pPr>
        <w:spacing w:line="360" w:lineRule="auto"/>
        <w:ind w:firstLine="420" w:firstLineChars="200"/>
        <w:rPr>
          <w:rFonts w:ascii="宋体" w:hAnsi="宋体"/>
        </w:rPr>
      </w:pPr>
      <w:r>
        <w:rPr>
          <w:rFonts w:ascii="宋体" w:hAnsi="宋体"/>
        </w:rPr>
        <w:t>（三）法定代表人身份证明及授权委托书</w:t>
      </w:r>
    </w:p>
    <w:p>
      <w:pPr>
        <w:spacing w:line="360" w:lineRule="auto"/>
        <w:ind w:firstLine="420" w:firstLineChars="200"/>
        <w:rPr>
          <w:rFonts w:hint="eastAsia" w:ascii="宋体" w:hAnsi="宋体"/>
        </w:rPr>
      </w:pPr>
      <w:r>
        <w:rPr>
          <w:rFonts w:ascii="宋体" w:hAnsi="宋体"/>
        </w:rPr>
        <w:t>（四）</w:t>
      </w:r>
      <w:r>
        <w:rPr>
          <w:rFonts w:hint="eastAsia" w:ascii="宋体" w:hAnsi="宋体"/>
        </w:rPr>
        <w:t>投标保证金（适用于投标保证金采用现金转账形式的）</w:t>
      </w:r>
    </w:p>
    <w:p>
      <w:pPr>
        <w:spacing w:line="360" w:lineRule="auto"/>
        <w:rPr>
          <w:rFonts w:ascii="宋体" w:hAnsi="宋体"/>
          <w:b/>
        </w:rPr>
      </w:pPr>
      <w:r>
        <w:rPr>
          <w:rFonts w:ascii="宋体" w:hAnsi="宋体"/>
          <w:b/>
        </w:rPr>
        <w:t>三、商务部分</w:t>
      </w:r>
    </w:p>
    <w:p>
      <w:pPr>
        <w:spacing w:line="360" w:lineRule="auto"/>
        <w:ind w:firstLine="420" w:firstLineChars="200"/>
        <w:rPr>
          <w:rFonts w:ascii="宋体" w:hAnsi="宋体"/>
        </w:rPr>
      </w:pPr>
      <w:r>
        <w:rPr>
          <w:rFonts w:ascii="宋体" w:hAnsi="宋体"/>
        </w:rPr>
        <w:t>已标价工程量清单</w:t>
      </w:r>
    </w:p>
    <w:p>
      <w:pPr>
        <w:spacing w:line="360" w:lineRule="auto"/>
        <w:rPr>
          <w:rFonts w:ascii="宋体" w:hAnsi="宋体"/>
          <w:b/>
        </w:rPr>
      </w:pPr>
      <w:r>
        <w:rPr>
          <w:rFonts w:hint="eastAsia" w:ascii="宋体" w:hAnsi="宋体"/>
          <w:b/>
        </w:rPr>
        <w:t>四</w:t>
      </w:r>
      <w:r>
        <w:rPr>
          <w:rFonts w:ascii="宋体" w:hAnsi="宋体"/>
          <w:b/>
        </w:rPr>
        <w:t>、</w:t>
      </w:r>
      <w:r>
        <w:rPr>
          <w:rFonts w:hint="eastAsia" w:ascii="宋体" w:hAnsi="宋体"/>
          <w:b/>
        </w:rPr>
        <w:t>资格审查部分</w:t>
      </w:r>
    </w:p>
    <w:p>
      <w:pPr>
        <w:spacing w:line="360" w:lineRule="auto"/>
        <w:ind w:firstLine="420" w:firstLineChars="200"/>
        <w:rPr>
          <w:rFonts w:ascii="宋体" w:hAnsi="宋体"/>
        </w:rPr>
      </w:pPr>
      <w:r>
        <w:rPr>
          <w:rFonts w:ascii="宋体" w:hAnsi="宋体"/>
        </w:rPr>
        <w:t>（一）法定代表人身份证明及授权委托书</w:t>
      </w:r>
    </w:p>
    <w:p>
      <w:pPr>
        <w:pStyle w:val="2"/>
        <w:rPr>
          <w:rFonts w:ascii="宋体" w:hAnsi="宋体"/>
        </w:rPr>
      </w:pPr>
      <w:r>
        <w:rPr>
          <w:rFonts w:hint="eastAsia" w:ascii="宋体" w:hAnsi="宋体"/>
          <w:lang w:val="en-US" w:eastAsia="zh-CN"/>
        </w:rPr>
        <w:t xml:space="preserve">     (二）</w:t>
      </w:r>
      <w:r>
        <w:rPr>
          <w:rFonts w:ascii="宋体" w:hAnsi="宋体"/>
        </w:rPr>
        <w:t>投标人基本情况表</w:t>
      </w:r>
    </w:p>
    <w:p>
      <w:pPr>
        <w:spacing w:line="360" w:lineRule="auto"/>
        <w:ind w:firstLine="420" w:firstLineChars="200"/>
        <w:rPr>
          <w:rFonts w:ascii="宋体" w:hAnsi="宋体"/>
        </w:rPr>
      </w:pPr>
      <w:r>
        <w:rPr>
          <w:rFonts w:ascii="宋体" w:hAnsi="宋体"/>
        </w:rPr>
        <w:t>（</w:t>
      </w:r>
      <w:r>
        <w:rPr>
          <w:rFonts w:hint="eastAsia" w:ascii="宋体" w:hAnsi="宋体"/>
          <w:lang w:eastAsia="zh-CN"/>
        </w:rPr>
        <w:t>三</w:t>
      </w:r>
      <w:r>
        <w:rPr>
          <w:rFonts w:ascii="宋体" w:hAnsi="宋体"/>
        </w:rPr>
        <w:t>）项目管理机构</w:t>
      </w:r>
    </w:p>
    <w:p>
      <w:pPr>
        <w:spacing w:line="360" w:lineRule="auto"/>
        <w:ind w:firstLine="420" w:firstLineChars="200"/>
        <w:rPr>
          <w:rFonts w:ascii="宋体" w:hAnsi="宋体"/>
        </w:rPr>
      </w:pPr>
      <w:r>
        <w:rPr>
          <w:rFonts w:hint="eastAsia" w:ascii="宋体" w:hAnsi="宋体"/>
          <w:lang w:eastAsia="zh-CN"/>
        </w:rPr>
        <w:t>（四）</w:t>
      </w:r>
      <w:r>
        <w:rPr>
          <w:rFonts w:hint="eastAsia" w:ascii="宋体" w:hAnsi="宋体"/>
        </w:rPr>
        <w:t>投标截止日投标资格情况</w:t>
      </w:r>
    </w:p>
    <w:p>
      <w:pPr>
        <w:spacing w:line="360" w:lineRule="auto"/>
        <w:ind w:firstLine="420" w:firstLineChars="200"/>
        <w:rPr>
          <w:rFonts w:ascii="宋体" w:hAnsi="宋体"/>
        </w:rPr>
      </w:pPr>
      <w:r>
        <w:rPr>
          <w:rFonts w:ascii="宋体" w:hAnsi="宋体"/>
        </w:rPr>
        <w:t>（</w:t>
      </w:r>
      <w:r>
        <w:rPr>
          <w:rFonts w:hint="eastAsia" w:ascii="宋体" w:hAnsi="宋体"/>
          <w:lang w:eastAsia="zh-CN"/>
        </w:rPr>
        <w:t>五</w:t>
      </w:r>
      <w:r>
        <w:rPr>
          <w:rFonts w:ascii="宋体" w:hAnsi="宋体"/>
        </w:rPr>
        <w:t>）其他资料</w:t>
      </w:r>
    </w:p>
    <w:p>
      <w:pPr>
        <w:pStyle w:val="5"/>
        <w:spacing w:line="360" w:lineRule="auto"/>
        <w:jc w:val="center"/>
        <w:rPr>
          <w:rFonts w:ascii="宋体" w:hAnsi="宋体"/>
          <w:b w:val="0"/>
          <w:bCs w:val="0"/>
          <w:sz w:val="44"/>
          <w:szCs w:val="44"/>
        </w:rPr>
      </w:pPr>
      <w:r>
        <w:rPr>
          <w:rFonts w:ascii="宋体"/>
          <w:sz w:val="24"/>
          <w:szCs w:val="24"/>
        </w:rPr>
        <w:br w:type="page"/>
      </w:r>
      <w:bookmarkStart w:id="1345" w:name="_Toc44424096"/>
      <w:bookmarkStart w:id="1346" w:name="_Toc509218853"/>
      <w:bookmarkStart w:id="1347" w:name="_Toc534185830"/>
      <w:bookmarkStart w:id="1348" w:name="_Toc454532515"/>
      <w:bookmarkStart w:id="1349" w:name="_Toc460945902"/>
      <w:bookmarkStart w:id="1350" w:name="_Toc450920457"/>
      <w:r>
        <w:rPr>
          <w:rFonts w:hint="eastAsia" w:ascii="宋体" w:hAnsi="宋体"/>
          <w:b w:val="0"/>
          <w:bCs w:val="0"/>
          <w:sz w:val="44"/>
          <w:szCs w:val="44"/>
        </w:rPr>
        <w:t>一、投标保函部分</w:t>
      </w:r>
      <w:bookmarkEnd w:id="1345"/>
      <w:bookmarkEnd w:id="1346"/>
      <w:bookmarkEnd w:id="1347"/>
    </w:p>
    <w:p>
      <w:pPr>
        <w:tabs>
          <w:tab w:val="left" w:pos="2580"/>
          <w:tab w:val="left" w:pos="5940"/>
        </w:tabs>
        <w:autoSpaceDE w:val="0"/>
        <w:autoSpaceDN w:val="0"/>
        <w:adjustRightInd w:val="0"/>
        <w:snapToGrid w:val="0"/>
        <w:spacing w:line="360" w:lineRule="auto"/>
        <w:jc w:val="center"/>
        <w:rPr>
          <w:rFonts w:ascii="宋体" w:hAnsi="宋体"/>
          <w:kern w:val="0"/>
          <w:sz w:val="28"/>
          <w:szCs w:val="28"/>
        </w:rPr>
      </w:pPr>
      <w:r>
        <w:rPr>
          <w:rFonts w:hint="eastAsia" w:ascii="宋体" w:hAnsi="宋体"/>
          <w:kern w:val="0"/>
          <w:sz w:val="28"/>
          <w:szCs w:val="28"/>
        </w:rPr>
        <w:t>（适用于投标保证金采用投标保函形式的）</w:t>
      </w: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tabs>
          <w:tab w:val="left" w:pos="2580"/>
          <w:tab w:val="left" w:pos="5940"/>
        </w:tabs>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投标保函</w:t>
      </w:r>
    </w:p>
    <w:p>
      <w:pPr>
        <w:autoSpaceDE w:val="0"/>
        <w:autoSpaceDN w:val="0"/>
        <w:adjustRightInd w:val="0"/>
        <w:spacing w:line="360" w:lineRule="auto"/>
        <w:ind w:right="1120"/>
        <w:jc w:val="right"/>
        <w:rPr>
          <w:rFonts w:ascii="宋体" w:hAnsi="宋体"/>
          <w:kern w:val="0"/>
          <w:sz w:val="24"/>
        </w:rPr>
      </w:pPr>
      <w:r>
        <w:rPr>
          <w:rFonts w:ascii="宋体" w:hAnsi="宋体"/>
          <w:kern w:val="0"/>
          <w:sz w:val="24"/>
        </w:rPr>
        <w:t>保函编号</w:t>
      </w:r>
    </w:p>
    <w:p>
      <w:pPr>
        <w:autoSpaceDE w:val="0"/>
        <w:autoSpaceDN w:val="0"/>
        <w:adjustRightInd w:val="0"/>
        <w:spacing w:line="424" w:lineRule="exact"/>
        <w:jc w:val="left"/>
        <w:rPr>
          <w:rFonts w:ascii="宋体" w:hAnsi="宋体"/>
          <w:kern w:val="0"/>
          <w:szCs w:val="21"/>
        </w:rPr>
      </w:pPr>
      <w:r>
        <w:rPr>
          <w:rFonts w:ascii="宋体" w:hAnsi="宋体"/>
          <w:kern w:val="0"/>
          <w:szCs w:val="21"/>
        </w:rPr>
        <w:t>致:</w:t>
      </w:r>
      <w:r>
        <w:rPr>
          <w:rFonts w:ascii="宋体" w:hAnsi="宋体"/>
          <w:kern w:val="0"/>
          <w:szCs w:val="21"/>
          <w:u w:val="single"/>
        </w:rPr>
        <w:t xml:space="preserve">         （招标人名称）</w:t>
      </w:r>
    </w:p>
    <w:p>
      <w:pPr>
        <w:autoSpaceDE w:val="0"/>
        <w:autoSpaceDN w:val="0"/>
        <w:adjustRightInd w:val="0"/>
        <w:spacing w:line="424" w:lineRule="exact"/>
        <w:jc w:val="left"/>
        <w:rPr>
          <w:rFonts w:ascii="宋体" w:hAnsi="宋体"/>
          <w:kern w:val="0"/>
          <w:szCs w:val="21"/>
        </w:rPr>
      </w:pPr>
      <w:r>
        <w:rPr>
          <w:rFonts w:ascii="宋体" w:hAnsi="宋体"/>
          <w:kern w:val="0"/>
          <w:szCs w:val="21"/>
        </w:rPr>
        <w:t xml:space="preserve">    本保函作为</w:t>
      </w:r>
      <w:r>
        <w:rPr>
          <w:rFonts w:ascii="宋体" w:hAnsi="宋体"/>
          <w:kern w:val="0"/>
          <w:szCs w:val="21"/>
          <w:u w:val="single"/>
        </w:rPr>
        <w:t xml:space="preserve">         （投标人名称）</w:t>
      </w:r>
      <w:r>
        <w:rPr>
          <w:rFonts w:ascii="宋体" w:hAnsi="宋体"/>
          <w:kern w:val="0"/>
          <w:szCs w:val="21"/>
        </w:rPr>
        <w:t>（以下简称“投标人”）在</w:t>
      </w:r>
      <w:r>
        <w:rPr>
          <w:rFonts w:ascii="宋体" w:hAnsi="宋体"/>
          <w:kern w:val="0"/>
          <w:szCs w:val="21"/>
          <w:u w:val="single"/>
        </w:rPr>
        <w:t xml:space="preserve">         （项目名称）</w:t>
      </w:r>
      <w:r>
        <w:rPr>
          <w:rFonts w:ascii="宋体" w:hAnsi="宋体"/>
          <w:kern w:val="0"/>
          <w:szCs w:val="21"/>
        </w:rPr>
        <w:t>向</w:t>
      </w:r>
      <w:r>
        <w:rPr>
          <w:rFonts w:ascii="宋体" w:hAnsi="宋体"/>
          <w:kern w:val="0"/>
          <w:szCs w:val="21"/>
          <w:u w:val="single"/>
        </w:rPr>
        <w:t xml:space="preserve">  （招标人名称）       </w:t>
      </w:r>
      <w:r>
        <w:rPr>
          <w:rFonts w:ascii="宋体" w:hAnsi="宋体"/>
          <w:kern w:val="0"/>
          <w:szCs w:val="21"/>
        </w:rPr>
        <w:t>（以下简称“受益人”）提供</w:t>
      </w:r>
      <w:r>
        <w:rPr>
          <w:rFonts w:ascii="宋体" w:hAnsi="宋体"/>
          <w:kern w:val="0"/>
          <w:szCs w:val="21"/>
          <w:u w:val="single"/>
        </w:rPr>
        <w:t xml:space="preserve">    （项目名称）      </w:t>
      </w:r>
      <w:r>
        <w:rPr>
          <w:rFonts w:ascii="宋体" w:hAnsi="宋体"/>
          <w:kern w:val="0"/>
          <w:szCs w:val="21"/>
        </w:rPr>
        <w:t>招标文件所需的投标保函文件。</w:t>
      </w:r>
    </w:p>
    <w:p>
      <w:pPr>
        <w:autoSpaceDE w:val="0"/>
        <w:autoSpaceDN w:val="0"/>
        <w:adjustRightInd w:val="0"/>
        <w:spacing w:line="424" w:lineRule="exact"/>
        <w:jc w:val="left"/>
        <w:rPr>
          <w:rFonts w:ascii="宋体" w:hAnsi="宋体"/>
          <w:kern w:val="0"/>
          <w:szCs w:val="21"/>
        </w:rPr>
      </w:pPr>
      <w:r>
        <w:rPr>
          <w:rFonts w:ascii="宋体" w:hAnsi="宋体"/>
          <w:kern w:val="0"/>
          <w:szCs w:val="21"/>
        </w:rPr>
        <w:t xml:space="preserve">    本保函担保金额为人民币</w:t>
      </w:r>
      <w:r>
        <w:rPr>
          <w:rFonts w:ascii="宋体" w:hAnsi="宋体"/>
          <w:snapToGrid w:val="0"/>
          <w:kern w:val="0"/>
          <w:szCs w:val="21"/>
        </w:rPr>
        <w:t>（大写）</w:t>
      </w:r>
      <w:r>
        <w:rPr>
          <w:rFonts w:ascii="宋体" w:hAnsi="宋体"/>
          <w:snapToGrid w:val="0"/>
          <w:kern w:val="0"/>
          <w:szCs w:val="21"/>
          <w:u w:val="single"/>
        </w:rPr>
        <w:tab/>
      </w:r>
      <w:r>
        <w:rPr>
          <w:rFonts w:ascii="宋体" w:hAnsi="宋体"/>
          <w:snapToGrid w:val="0"/>
          <w:kern w:val="0"/>
          <w:szCs w:val="21"/>
          <w:u w:val="single"/>
        </w:rPr>
        <w:t>（</w:t>
      </w:r>
      <w:r>
        <w:rPr>
          <w:rFonts w:ascii="宋体" w:hAnsi="宋体"/>
          <w:kern w:val="0"/>
          <w:szCs w:val="21"/>
          <w:u w:val="single"/>
        </w:rPr>
        <w:t>招标文件要求的保证金金额</w:t>
      </w:r>
      <w:r>
        <w:rPr>
          <w:rFonts w:ascii="宋体" w:hAnsi="宋体"/>
          <w:snapToGrid w:val="0"/>
          <w:kern w:val="0"/>
          <w:szCs w:val="21"/>
          <w:u w:val="single"/>
        </w:rPr>
        <w:t xml:space="preserve">） </w:t>
      </w:r>
      <w:r>
        <w:rPr>
          <w:rFonts w:ascii="宋体" w:hAnsi="宋体"/>
          <w:snapToGrid w:val="0"/>
          <w:kern w:val="0"/>
          <w:szCs w:val="21"/>
        </w:rPr>
        <w:t>元（</w:t>
      </w:r>
      <w:r>
        <w:rPr>
          <w:rFonts w:hint="eastAsia" w:ascii="宋体" w:hAnsi="宋体" w:cs="宋体"/>
          <w:snapToGrid w:val="0"/>
          <w:kern w:val="0"/>
          <w:szCs w:val="21"/>
        </w:rPr>
        <w:t>¥</w:t>
      </w:r>
      <w:r>
        <w:rPr>
          <w:rFonts w:ascii="宋体" w:hAnsi="宋体"/>
          <w:snapToGrid w:val="0"/>
          <w:kern w:val="0"/>
          <w:szCs w:val="21"/>
          <w:u w:val="single"/>
        </w:rPr>
        <w:tab/>
      </w:r>
      <w:r>
        <w:rPr>
          <w:rFonts w:ascii="宋体" w:hAnsi="宋体"/>
          <w:snapToGrid w:val="0"/>
          <w:kern w:val="0"/>
          <w:szCs w:val="21"/>
          <w:u w:val="single"/>
        </w:rPr>
        <w:t xml:space="preserve">      </w:t>
      </w:r>
      <w:r>
        <w:rPr>
          <w:rFonts w:ascii="宋体" w:hAnsi="宋体"/>
          <w:snapToGrid w:val="0"/>
          <w:kern w:val="0"/>
          <w:szCs w:val="21"/>
        </w:rPr>
        <w:t>）。</w:t>
      </w:r>
      <w:r>
        <w:rPr>
          <w:rFonts w:ascii="宋体" w:hAnsi="宋体"/>
          <w:kern w:val="0"/>
          <w:szCs w:val="21"/>
        </w:rPr>
        <w:t>兹承诺，在收到受益人出具的说明下列任一事项的在担保金额内的书面索款通知及正本保函的</w:t>
      </w:r>
      <w:r>
        <w:rPr>
          <w:rFonts w:ascii="宋体" w:hAnsi="宋体"/>
          <w:kern w:val="0"/>
          <w:szCs w:val="21"/>
          <w:u w:val="single"/>
        </w:rPr>
        <w:t xml:space="preserve">    </w:t>
      </w:r>
      <w:r>
        <w:rPr>
          <w:rFonts w:ascii="宋体" w:hAnsi="宋体"/>
          <w:kern w:val="0"/>
          <w:szCs w:val="21"/>
        </w:rPr>
        <w:t>个工作日内无条件支付。（任何索赔要求务必于本保函到期日之前送达我行。）</w:t>
      </w:r>
    </w:p>
    <w:p>
      <w:pPr>
        <w:autoSpaceDE w:val="0"/>
        <w:autoSpaceDN w:val="0"/>
        <w:adjustRightInd w:val="0"/>
        <w:spacing w:line="424" w:lineRule="exact"/>
        <w:jc w:val="left"/>
        <w:rPr>
          <w:rFonts w:ascii="宋体" w:hAnsi="宋体"/>
          <w:kern w:val="0"/>
          <w:szCs w:val="21"/>
        </w:rPr>
      </w:pPr>
      <w:r>
        <w:rPr>
          <w:rFonts w:ascii="宋体" w:hAnsi="宋体"/>
          <w:kern w:val="0"/>
          <w:szCs w:val="21"/>
        </w:rPr>
        <w:t xml:space="preserve">    一、投标人在规定的投标有效期内撤回其投标文件；</w:t>
      </w:r>
    </w:p>
    <w:p>
      <w:pPr>
        <w:autoSpaceDE w:val="0"/>
        <w:autoSpaceDN w:val="0"/>
        <w:adjustRightInd w:val="0"/>
        <w:spacing w:line="424" w:lineRule="exact"/>
        <w:jc w:val="left"/>
        <w:rPr>
          <w:rFonts w:ascii="宋体" w:hAnsi="宋体"/>
          <w:kern w:val="0"/>
          <w:szCs w:val="21"/>
        </w:rPr>
      </w:pPr>
      <w:r>
        <w:rPr>
          <w:rFonts w:ascii="宋体" w:hAnsi="宋体"/>
          <w:kern w:val="0"/>
          <w:szCs w:val="21"/>
        </w:rPr>
        <w:t xml:space="preserve">    二、投</w:t>
      </w:r>
      <w:r>
        <w:rPr>
          <w:rFonts w:ascii="宋体" w:hAnsi="宋体"/>
          <w:spacing w:val="4"/>
          <w:kern w:val="0"/>
          <w:szCs w:val="21"/>
        </w:rPr>
        <w:t>标人被通知中标后未能或拒绝按中标通知书之规定签</w:t>
      </w:r>
      <w:r>
        <w:rPr>
          <w:rFonts w:ascii="宋体" w:hAnsi="宋体"/>
          <w:kern w:val="0"/>
          <w:szCs w:val="21"/>
        </w:rPr>
        <w:t>订合同；</w:t>
      </w:r>
    </w:p>
    <w:p>
      <w:pPr>
        <w:autoSpaceDE w:val="0"/>
        <w:autoSpaceDN w:val="0"/>
        <w:adjustRightInd w:val="0"/>
        <w:spacing w:line="424" w:lineRule="exact"/>
        <w:jc w:val="left"/>
        <w:rPr>
          <w:rFonts w:ascii="宋体" w:hAnsi="宋体"/>
          <w:kern w:val="0"/>
          <w:szCs w:val="21"/>
        </w:rPr>
      </w:pPr>
      <w:r>
        <w:rPr>
          <w:rFonts w:ascii="宋体" w:hAnsi="宋体"/>
          <w:kern w:val="0"/>
          <w:szCs w:val="21"/>
        </w:rPr>
        <w:t xml:space="preserve">    三、合同生效后</w:t>
      </w:r>
      <w:r>
        <w:rPr>
          <w:rFonts w:hint="eastAsia" w:ascii="宋体" w:hAnsi="宋体"/>
          <w:kern w:val="0"/>
          <w:szCs w:val="21"/>
          <w:u w:val="single"/>
        </w:rPr>
        <w:t xml:space="preserve">  </w:t>
      </w:r>
      <w:r>
        <w:rPr>
          <w:rFonts w:ascii="宋体" w:hAnsi="宋体"/>
          <w:kern w:val="0"/>
          <w:szCs w:val="21"/>
        </w:rPr>
        <w:t>天内，投标人未能或拒绝按照招标文件之规定提供履约</w:t>
      </w:r>
      <w:r>
        <w:rPr>
          <w:rFonts w:hint="eastAsia" w:ascii="宋体" w:hAnsi="宋体"/>
          <w:kern w:val="0"/>
          <w:szCs w:val="21"/>
        </w:rPr>
        <w:t>担保、低价风险担保（如有）</w:t>
      </w:r>
      <w:r>
        <w:rPr>
          <w:rFonts w:ascii="宋体" w:hAnsi="宋体"/>
          <w:kern w:val="0"/>
          <w:szCs w:val="21"/>
        </w:rPr>
        <w:t>；</w:t>
      </w:r>
    </w:p>
    <w:p>
      <w:pPr>
        <w:autoSpaceDE w:val="0"/>
        <w:autoSpaceDN w:val="0"/>
        <w:adjustRightInd w:val="0"/>
        <w:spacing w:line="424" w:lineRule="exact"/>
        <w:jc w:val="left"/>
        <w:rPr>
          <w:rFonts w:ascii="宋体" w:hAnsi="宋体"/>
          <w:kern w:val="0"/>
          <w:szCs w:val="21"/>
        </w:rPr>
      </w:pPr>
      <w:r>
        <w:rPr>
          <w:rFonts w:ascii="宋体" w:hAnsi="宋体"/>
          <w:kern w:val="0"/>
          <w:szCs w:val="21"/>
        </w:rPr>
        <w:t xml:space="preserve">    四、存在担保项目招标文件规定的投标人须知正文9.2款内容规定之情形的；</w:t>
      </w:r>
    </w:p>
    <w:p>
      <w:pPr>
        <w:autoSpaceDE w:val="0"/>
        <w:autoSpaceDN w:val="0"/>
        <w:adjustRightInd w:val="0"/>
        <w:spacing w:line="424" w:lineRule="exact"/>
        <w:jc w:val="left"/>
        <w:rPr>
          <w:rFonts w:ascii="宋体" w:hAnsi="宋体"/>
          <w:kern w:val="0"/>
          <w:szCs w:val="21"/>
        </w:rPr>
      </w:pPr>
      <w:r>
        <w:rPr>
          <w:rFonts w:ascii="宋体" w:hAnsi="宋体"/>
          <w:kern w:val="0"/>
          <w:szCs w:val="21"/>
        </w:rPr>
        <w:t xml:space="preserve">    五、存在担保项目招标文件规定的其他应予以扣留投标保证金之情形的。</w:t>
      </w:r>
    </w:p>
    <w:p>
      <w:pPr>
        <w:autoSpaceDE w:val="0"/>
        <w:autoSpaceDN w:val="0"/>
        <w:adjustRightInd w:val="0"/>
        <w:spacing w:line="424" w:lineRule="exact"/>
        <w:jc w:val="left"/>
        <w:rPr>
          <w:rFonts w:ascii="宋体" w:hAnsi="宋体"/>
          <w:kern w:val="0"/>
          <w:szCs w:val="21"/>
        </w:rPr>
      </w:pPr>
      <w:r>
        <w:rPr>
          <w:rFonts w:ascii="宋体" w:hAnsi="宋体"/>
          <w:kern w:val="0"/>
          <w:szCs w:val="21"/>
        </w:rPr>
        <w:t xml:space="preserve">    本保函有效期</w:t>
      </w:r>
      <w:r>
        <w:rPr>
          <w:rFonts w:hint="eastAsia" w:ascii="宋体" w:hAnsi="宋体"/>
          <w:kern w:val="0"/>
          <w:szCs w:val="21"/>
        </w:rPr>
        <w:t>与</w:t>
      </w:r>
      <w:r>
        <w:rPr>
          <w:rFonts w:ascii="宋体" w:hAnsi="宋体"/>
          <w:kern w:val="0"/>
          <w:szCs w:val="21"/>
        </w:rPr>
        <w:t>本项目招标文件规定的投标有效期</w:t>
      </w:r>
      <w:r>
        <w:rPr>
          <w:rFonts w:hint="eastAsia" w:ascii="宋体" w:hAnsi="宋体"/>
          <w:kern w:val="0"/>
          <w:szCs w:val="21"/>
        </w:rPr>
        <w:t>一致。</w:t>
      </w:r>
    </w:p>
    <w:p>
      <w:pPr>
        <w:autoSpaceDE w:val="0"/>
        <w:autoSpaceDN w:val="0"/>
        <w:adjustRightInd w:val="0"/>
        <w:spacing w:line="424" w:lineRule="exact"/>
        <w:jc w:val="left"/>
        <w:rPr>
          <w:rFonts w:ascii="宋体" w:hAnsi="宋体"/>
          <w:kern w:val="0"/>
          <w:szCs w:val="21"/>
        </w:rPr>
      </w:pPr>
      <w:r>
        <w:rPr>
          <w:rFonts w:ascii="宋体" w:hAnsi="宋体"/>
          <w:kern w:val="0"/>
          <w:szCs w:val="21"/>
        </w:rPr>
        <w:t xml:space="preserve">    关于本保函的注销（含撤销）要求：</w:t>
      </w:r>
    </w:p>
    <w:p>
      <w:pPr>
        <w:autoSpaceDE w:val="0"/>
        <w:autoSpaceDN w:val="0"/>
        <w:adjustRightInd w:val="0"/>
        <w:spacing w:line="424" w:lineRule="exact"/>
        <w:jc w:val="left"/>
        <w:rPr>
          <w:rFonts w:ascii="宋体" w:hAnsi="宋体"/>
          <w:kern w:val="0"/>
          <w:szCs w:val="21"/>
        </w:rPr>
      </w:pPr>
      <w:r>
        <w:rPr>
          <w:rFonts w:ascii="宋体" w:hAnsi="宋体"/>
          <w:kern w:val="0"/>
          <w:szCs w:val="21"/>
        </w:rPr>
        <w:t xml:space="preserve">    一、本保函到期后，无论是否退回，本保函均告失效。</w:t>
      </w:r>
    </w:p>
    <w:p>
      <w:pPr>
        <w:autoSpaceDE w:val="0"/>
        <w:autoSpaceDN w:val="0"/>
        <w:adjustRightInd w:val="0"/>
        <w:spacing w:line="424" w:lineRule="exact"/>
        <w:jc w:val="left"/>
        <w:rPr>
          <w:rFonts w:ascii="宋体" w:hAnsi="宋体"/>
          <w:kern w:val="0"/>
          <w:szCs w:val="21"/>
        </w:rPr>
      </w:pPr>
      <w:r>
        <w:rPr>
          <w:rFonts w:ascii="宋体" w:hAnsi="宋体"/>
          <w:kern w:val="0"/>
          <w:szCs w:val="21"/>
        </w:rPr>
        <w:t xml:space="preserve">    二、在本保函有效期内，若投标人需注销（含撤销）本保函，则须提供受益人提供的准予注销（含撤销）的通知文件。</w:t>
      </w:r>
    </w:p>
    <w:p>
      <w:pPr>
        <w:tabs>
          <w:tab w:val="left" w:pos="4785"/>
          <w:tab w:val="left" w:pos="7100"/>
          <w:tab w:val="left" w:pos="7520"/>
          <w:tab w:val="left" w:pos="8360"/>
        </w:tabs>
        <w:autoSpaceDE w:val="0"/>
        <w:autoSpaceDN w:val="0"/>
        <w:adjustRightInd w:val="0"/>
        <w:spacing w:line="424" w:lineRule="exact"/>
        <w:ind w:left="120" w:right="257"/>
        <w:rPr>
          <w:rFonts w:ascii="宋体" w:hAnsi="宋体"/>
          <w:kern w:val="0"/>
          <w:szCs w:val="21"/>
        </w:rPr>
      </w:pPr>
      <w:r>
        <w:rPr>
          <w:rFonts w:ascii="宋体" w:hAnsi="宋体"/>
          <w:kern w:val="0"/>
          <w:szCs w:val="21"/>
        </w:rPr>
        <w:t xml:space="preserve">  </w:t>
      </w:r>
    </w:p>
    <w:p>
      <w:pPr>
        <w:tabs>
          <w:tab w:val="left" w:pos="4785"/>
          <w:tab w:val="left" w:pos="7100"/>
          <w:tab w:val="left" w:pos="7520"/>
          <w:tab w:val="left" w:pos="8360"/>
        </w:tabs>
        <w:autoSpaceDE w:val="0"/>
        <w:autoSpaceDN w:val="0"/>
        <w:adjustRightInd w:val="0"/>
        <w:spacing w:line="424" w:lineRule="exact"/>
        <w:ind w:firstLine="420" w:firstLineChars="200"/>
        <w:rPr>
          <w:rFonts w:ascii="宋体" w:hAnsi="宋体"/>
          <w:kern w:val="0"/>
          <w:szCs w:val="21"/>
        </w:rPr>
      </w:pPr>
      <w:r>
        <w:rPr>
          <w:rFonts w:ascii="宋体" w:hAnsi="宋体"/>
          <w:kern w:val="0"/>
          <w:szCs w:val="21"/>
        </w:rPr>
        <w:t>担</w:t>
      </w:r>
      <w:r>
        <w:rPr>
          <w:rFonts w:hint="eastAsia" w:ascii="宋体" w:hAnsi="宋体"/>
          <w:kern w:val="0"/>
          <w:szCs w:val="21"/>
        </w:rPr>
        <w:t xml:space="preserve"> </w:t>
      </w:r>
      <w:r>
        <w:rPr>
          <w:rFonts w:ascii="宋体" w:hAnsi="宋体"/>
          <w:kern w:val="0"/>
          <w:szCs w:val="21"/>
        </w:rPr>
        <w:t>保</w:t>
      </w:r>
      <w:r>
        <w:rPr>
          <w:rFonts w:hint="eastAsia" w:ascii="宋体" w:hAnsi="宋体"/>
          <w:kern w:val="0"/>
          <w:szCs w:val="21"/>
        </w:rPr>
        <w:t xml:space="preserve"> </w:t>
      </w:r>
      <w:r>
        <w:rPr>
          <w:rFonts w:ascii="宋体" w:hAnsi="宋体"/>
          <w:kern w:val="0"/>
          <w:szCs w:val="21"/>
        </w:rPr>
        <w:t>人：</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rPr>
        <w:t>（盖单位公章）</w:t>
      </w:r>
    </w:p>
    <w:p>
      <w:pPr>
        <w:tabs>
          <w:tab w:val="left" w:pos="4160"/>
          <w:tab w:val="left" w:pos="7100"/>
          <w:tab w:val="left" w:pos="7520"/>
          <w:tab w:val="left" w:pos="8360"/>
        </w:tabs>
        <w:autoSpaceDE w:val="0"/>
        <w:autoSpaceDN w:val="0"/>
        <w:adjustRightInd w:val="0"/>
        <w:spacing w:line="424" w:lineRule="exact"/>
        <w:ind w:firstLine="420" w:firstLineChars="200"/>
        <w:rPr>
          <w:rFonts w:ascii="宋体" w:hAnsi="宋体"/>
          <w:kern w:val="0"/>
          <w:szCs w:val="21"/>
        </w:rPr>
      </w:pPr>
      <w:r>
        <w:rPr>
          <w:rFonts w:ascii="宋体" w:hAnsi="宋体"/>
          <w:kern w:val="0"/>
          <w:szCs w:val="21"/>
        </w:rPr>
        <w:t>法定代表人或其委托代理人：</w:t>
      </w:r>
      <w:r>
        <w:rPr>
          <w:rFonts w:hint="eastAsia" w:ascii="宋体" w:hAnsi="宋体"/>
          <w:kern w:val="0"/>
          <w:szCs w:val="21"/>
          <w:u w:val="single"/>
        </w:rPr>
        <w:t xml:space="preserve">                                        </w:t>
      </w:r>
      <w:r>
        <w:rPr>
          <w:rFonts w:ascii="宋体" w:hAnsi="宋体"/>
          <w:kern w:val="0"/>
          <w:szCs w:val="21"/>
        </w:rPr>
        <w:t>（签字或盖章）</w:t>
      </w:r>
    </w:p>
    <w:p>
      <w:pPr>
        <w:tabs>
          <w:tab w:val="left" w:pos="4160"/>
          <w:tab w:val="left" w:pos="7335"/>
          <w:tab w:val="left" w:pos="7520"/>
          <w:tab w:val="left" w:pos="8360"/>
        </w:tabs>
        <w:autoSpaceDE w:val="0"/>
        <w:autoSpaceDN w:val="0"/>
        <w:adjustRightInd w:val="0"/>
        <w:spacing w:line="424" w:lineRule="exact"/>
        <w:ind w:firstLine="420" w:firstLineChars="200"/>
        <w:rPr>
          <w:rFonts w:ascii="宋体" w:hAnsi="宋体"/>
          <w:kern w:val="0"/>
          <w:szCs w:val="21"/>
          <w:u w:val="single"/>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kern w:val="0"/>
          <w:szCs w:val="21"/>
          <w:u w:val="single"/>
        </w:rPr>
        <w:t xml:space="preserve"> 　　　　　                  </w:t>
      </w:r>
      <w:r>
        <w:rPr>
          <w:rFonts w:ascii="宋体" w:hAnsi="宋体"/>
          <w:kern w:val="0"/>
          <w:szCs w:val="21"/>
          <w:u w:val="single"/>
        </w:rPr>
        <w:tab/>
      </w:r>
      <w:r>
        <w:rPr>
          <w:rFonts w:ascii="宋体" w:hAnsi="宋体"/>
          <w:kern w:val="0"/>
          <w:szCs w:val="21"/>
        </w:rPr>
        <w:t>（详细地址）</w:t>
      </w:r>
    </w:p>
    <w:p>
      <w:pPr>
        <w:tabs>
          <w:tab w:val="left" w:pos="8300"/>
        </w:tabs>
        <w:autoSpaceDE w:val="0"/>
        <w:autoSpaceDN w:val="0"/>
        <w:adjustRightInd w:val="0"/>
        <w:spacing w:line="424" w:lineRule="exact"/>
        <w:ind w:firstLine="420" w:firstLineChars="200"/>
        <w:jc w:val="left"/>
        <w:rPr>
          <w:rFonts w:ascii="宋体" w:hAnsi="宋体"/>
          <w:kern w:val="0"/>
          <w:szCs w:val="21"/>
          <w:u w:val="single"/>
        </w:rPr>
      </w:pPr>
      <w:r>
        <w:rPr>
          <w:rFonts w:ascii="宋体" w:hAnsi="宋体"/>
          <w:kern w:val="0"/>
          <w:szCs w:val="21"/>
        </w:rPr>
        <w:t>邮政编码：</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pPr>
        <w:autoSpaceDE w:val="0"/>
        <w:autoSpaceDN w:val="0"/>
        <w:adjustRightInd w:val="0"/>
        <w:spacing w:line="424" w:lineRule="exact"/>
        <w:ind w:firstLine="420" w:firstLineChars="200"/>
        <w:jc w:val="left"/>
        <w:rPr>
          <w:rFonts w:ascii="宋体" w:hAnsi="宋体"/>
          <w:kern w:val="0"/>
          <w:szCs w:val="21"/>
          <w:u w:val="single"/>
        </w:rPr>
      </w:pPr>
      <w:r>
        <w:rPr>
          <w:rFonts w:ascii="宋体" w:hAnsi="宋体"/>
          <w:kern w:val="0"/>
          <w:szCs w:val="21"/>
        </w:rPr>
        <w:t>电</w:t>
      </w:r>
      <w:r>
        <w:rPr>
          <w:rFonts w:hint="eastAsia" w:ascii="宋体" w:hAnsi="宋体"/>
          <w:kern w:val="0"/>
          <w:szCs w:val="21"/>
        </w:rPr>
        <w:t xml:space="preserve">    </w:t>
      </w:r>
      <w:r>
        <w:rPr>
          <w:rFonts w:ascii="宋体" w:hAnsi="宋体"/>
          <w:kern w:val="0"/>
          <w:szCs w:val="21"/>
        </w:rPr>
        <w:t>话：</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pPr>
        <w:autoSpaceDE w:val="0"/>
        <w:autoSpaceDN w:val="0"/>
        <w:adjustRightInd w:val="0"/>
        <w:spacing w:line="424" w:lineRule="exact"/>
        <w:ind w:firstLine="420" w:firstLineChars="200"/>
        <w:jc w:val="left"/>
        <w:rPr>
          <w:rFonts w:ascii="宋体" w:hAnsi="宋体"/>
          <w:kern w:val="0"/>
          <w:szCs w:val="21"/>
          <w:u w:val="single"/>
        </w:rPr>
      </w:pPr>
      <w:r>
        <w:rPr>
          <w:rFonts w:ascii="宋体" w:hAnsi="宋体"/>
          <w:kern w:val="0"/>
          <w:szCs w:val="21"/>
        </w:rPr>
        <w:t>联</w:t>
      </w:r>
      <w:r>
        <w:rPr>
          <w:rFonts w:hint="eastAsia" w:ascii="宋体" w:hAnsi="宋体"/>
          <w:kern w:val="0"/>
          <w:szCs w:val="21"/>
        </w:rPr>
        <w:t xml:space="preserve"> </w:t>
      </w:r>
      <w:r>
        <w:rPr>
          <w:rFonts w:ascii="宋体" w:hAnsi="宋体"/>
          <w:kern w:val="0"/>
          <w:szCs w:val="21"/>
        </w:rPr>
        <w:t>系</w:t>
      </w:r>
      <w:r>
        <w:rPr>
          <w:rFonts w:hint="eastAsia" w:ascii="宋体" w:hAnsi="宋体"/>
          <w:kern w:val="0"/>
          <w:szCs w:val="21"/>
        </w:rPr>
        <w:t xml:space="preserve"> </w:t>
      </w:r>
      <w:r>
        <w:rPr>
          <w:rFonts w:ascii="宋体" w:hAnsi="宋体"/>
          <w:kern w:val="0"/>
          <w:szCs w:val="21"/>
        </w:rPr>
        <w:t>人：</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pPr>
        <w:autoSpaceDE w:val="0"/>
        <w:autoSpaceDN w:val="0"/>
        <w:adjustRightInd w:val="0"/>
        <w:spacing w:line="424" w:lineRule="exact"/>
        <w:ind w:firstLine="420" w:firstLineChars="200"/>
        <w:jc w:val="left"/>
        <w:rPr>
          <w:rFonts w:ascii="宋体" w:hAnsi="宋体"/>
          <w:kern w:val="0"/>
          <w:szCs w:val="21"/>
          <w:u w:val="single"/>
        </w:rPr>
      </w:pPr>
      <w:r>
        <w:rPr>
          <w:rFonts w:ascii="宋体" w:hAnsi="宋体"/>
          <w:kern w:val="0"/>
          <w:szCs w:val="21"/>
        </w:rPr>
        <w:t xml:space="preserve">传   </w:t>
      </w:r>
      <w:r>
        <w:rPr>
          <w:rFonts w:hint="eastAsia" w:ascii="宋体" w:hAnsi="宋体"/>
          <w:kern w:val="0"/>
          <w:szCs w:val="21"/>
        </w:rPr>
        <w:t xml:space="preserve"> </w:t>
      </w:r>
      <w:r>
        <w:rPr>
          <w:rFonts w:ascii="宋体" w:hAnsi="宋体"/>
          <w:kern w:val="0"/>
          <w:szCs w:val="21"/>
        </w:rPr>
        <w:t>真：</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pPr>
        <w:autoSpaceDE w:val="0"/>
        <w:autoSpaceDN w:val="0"/>
        <w:adjustRightInd w:val="0"/>
        <w:spacing w:line="424" w:lineRule="exact"/>
        <w:ind w:firstLine="420" w:firstLineChars="200"/>
        <w:jc w:val="left"/>
        <w:rPr>
          <w:rFonts w:ascii="宋体" w:hAnsi="宋体"/>
          <w:kern w:val="0"/>
          <w:szCs w:val="21"/>
          <w:u w:val="single"/>
        </w:rPr>
      </w:pPr>
      <w:r>
        <w:rPr>
          <w:rFonts w:hint="eastAsia" w:ascii="宋体" w:hAnsi="宋体"/>
          <w:kern w:val="0"/>
          <w:szCs w:val="21"/>
        </w:rPr>
        <w:t>（注：本保函格式为参考格式，投标人提供的投标保函应满足投标人须知3.4项规定）</w:t>
      </w: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ascii="宋体"/>
          <w:b/>
          <w:bCs/>
          <w:sz w:val="36"/>
          <w:szCs w:val="36"/>
        </w:rPr>
      </w:pPr>
      <w:r>
        <w:rPr>
          <w:rFonts w:hint="eastAsia" w:ascii="宋体" w:hAnsi="宋体" w:cs="宋体"/>
          <w:b/>
          <w:bCs/>
          <w:sz w:val="36"/>
          <w:szCs w:val="36"/>
          <w:lang w:eastAsia="zh-CN"/>
        </w:rPr>
        <w:t>二</w:t>
      </w:r>
      <w:r>
        <w:rPr>
          <w:rFonts w:hint="eastAsia" w:ascii="宋体" w:hAnsi="宋体" w:cs="宋体"/>
          <w:b/>
          <w:bCs/>
          <w:sz w:val="36"/>
          <w:szCs w:val="36"/>
        </w:rPr>
        <w:t>、投标函部分</w:t>
      </w:r>
      <w:bookmarkEnd w:id="1342"/>
      <w:bookmarkEnd w:id="1343"/>
      <w:bookmarkEnd w:id="1344"/>
      <w:bookmarkEnd w:id="1348"/>
      <w:bookmarkEnd w:id="1349"/>
      <w:bookmarkEnd w:id="1350"/>
    </w:p>
    <w:p>
      <w:pPr>
        <w:tabs>
          <w:tab w:val="left" w:pos="3395"/>
          <w:tab w:val="left" w:pos="5940"/>
        </w:tabs>
        <w:wordWrap w:val="0"/>
        <w:autoSpaceDE w:val="0"/>
        <w:autoSpaceDN w:val="0"/>
        <w:adjustRightInd w:val="0"/>
        <w:snapToGrid w:val="0"/>
        <w:spacing w:line="360" w:lineRule="auto"/>
        <w:jc w:val="left"/>
        <w:rPr>
          <w:rFonts w:ascii="宋体"/>
          <w:kern w:val="0"/>
          <w:sz w:val="28"/>
          <w:szCs w:val="28"/>
          <w:u w:val="single"/>
        </w:rPr>
      </w:pP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rPr>
          <w:rFonts w:hint="eastAsia"/>
        </w:rPr>
      </w:pPr>
    </w:p>
    <w:p>
      <w:pPr>
        <w:tabs>
          <w:tab w:val="left" w:pos="5285"/>
          <w:tab w:val="left" w:pos="5940"/>
        </w:tabs>
        <w:wordWrap w:val="0"/>
        <w:autoSpaceDE w:val="0"/>
        <w:autoSpaceDN w:val="0"/>
        <w:adjustRightInd w:val="0"/>
        <w:snapToGrid w:val="0"/>
        <w:spacing w:line="360" w:lineRule="auto"/>
        <w:ind w:firstLine="980" w:firstLineChars="350"/>
        <w:jc w:val="left"/>
        <w:rPr>
          <w:rFonts w:ascii="宋体"/>
          <w:kern w:val="0"/>
          <w:sz w:val="28"/>
          <w:szCs w:val="28"/>
        </w:rPr>
      </w:pPr>
      <w:r>
        <w:rPr>
          <w:rFonts w:ascii="宋体"/>
          <w:kern w:val="0"/>
          <w:sz w:val="28"/>
          <w:szCs w:val="28"/>
          <w:u w:val="single"/>
        </w:rPr>
        <w:tab/>
      </w:r>
      <w:r>
        <w:rPr>
          <w:rFonts w:hint="eastAsia" w:ascii="宋体" w:hAnsi="宋体" w:cs="宋体"/>
          <w:w w:val="99"/>
          <w:kern w:val="0"/>
          <w:sz w:val="28"/>
          <w:szCs w:val="28"/>
        </w:rPr>
        <w:t>（项目名称</w:t>
      </w:r>
      <w:r>
        <w:rPr>
          <w:rFonts w:hint="eastAsia" w:ascii="宋体" w:hAnsi="宋体" w:cs="宋体"/>
          <w:spacing w:val="1"/>
          <w:w w:val="99"/>
          <w:kern w:val="0"/>
          <w:sz w:val="28"/>
          <w:szCs w:val="28"/>
        </w:rPr>
        <w:t>）</w:t>
      </w:r>
      <w:r>
        <w:rPr>
          <w:rFonts w:hint="eastAsia" w:ascii="宋体" w:hAnsi="宋体" w:cs="宋体"/>
          <w:w w:val="99"/>
          <w:kern w:val="0"/>
          <w:sz w:val="28"/>
          <w:szCs w:val="28"/>
        </w:rPr>
        <w:t>施工比选</w:t>
      </w:r>
    </w:p>
    <w:p>
      <w:pPr>
        <w:tabs>
          <w:tab w:val="left" w:pos="3600"/>
          <w:tab w:val="left" w:pos="4480"/>
          <w:tab w:val="left" w:pos="5360"/>
        </w:tabs>
        <w:wordWrap w:val="0"/>
        <w:autoSpaceDE w:val="0"/>
        <w:autoSpaceDN w:val="0"/>
        <w:adjustRightInd w:val="0"/>
        <w:snapToGrid w:val="0"/>
        <w:spacing w:line="360" w:lineRule="auto"/>
        <w:jc w:val="left"/>
        <w:rPr>
          <w:rFonts w:ascii="宋体"/>
          <w:kern w:val="0"/>
          <w:sz w:val="44"/>
          <w:szCs w:val="44"/>
        </w:rPr>
      </w:pPr>
    </w:p>
    <w:p>
      <w:pPr>
        <w:tabs>
          <w:tab w:val="left" w:pos="3600"/>
          <w:tab w:val="left" w:pos="4480"/>
          <w:tab w:val="left" w:pos="5360"/>
        </w:tabs>
        <w:wordWrap w:val="0"/>
        <w:autoSpaceDE w:val="0"/>
        <w:autoSpaceDN w:val="0"/>
        <w:adjustRightInd w:val="0"/>
        <w:snapToGrid w:val="0"/>
        <w:spacing w:line="360" w:lineRule="auto"/>
        <w:jc w:val="left"/>
        <w:rPr>
          <w:rFonts w:ascii="宋体"/>
          <w:kern w:val="0"/>
          <w:sz w:val="44"/>
          <w:szCs w:val="44"/>
        </w:rPr>
      </w:pPr>
    </w:p>
    <w:p>
      <w:pPr>
        <w:tabs>
          <w:tab w:val="left" w:pos="3600"/>
          <w:tab w:val="left" w:pos="4480"/>
          <w:tab w:val="left" w:pos="5360"/>
        </w:tabs>
        <w:wordWrap w:val="0"/>
        <w:autoSpaceDE w:val="0"/>
        <w:autoSpaceDN w:val="0"/>
        <w:adjustRightInd w:val="0"/>
        <w:snapToGrid w:val="0"/>
        <w:spacing w:line="360" w:lineRule="auto"/>
        <w:jc w:val="center"/>
        <w:rPr>
          <w:rFonts w:ascii="宋体"/>
          <w:kern w:val="0"/>
          <w:sz w:val="84"/>
          <w:szCs w:val="84"/>
        </w:rPr>
      </w:pPr>
      <w:r>
        <w:rPr>
          <w:rFonts w:hint="eastAsia" w:ascii="宋体" w:hAnsi="宋体" w:cs="宋体"/>
          <w:kern w:val="0"/>
          <w:sz w:val="84"/>
          <w:szCs w:val="84"/>
        </w:rPr>
        <w:t>投</w:t>
      </w:r>
      <w:r>
        <w:rPr>
          <w:rFonts w:ascii="宋体" w:hAnsi="宋体" w:cs="宋体"/>
          <w:kern w:val="0"/>
          <w:sz w:val="84"/>
          <w:szCs w:val="84"/>
        </w:rPr>
        <w:t xml:space="preserve">  </w:t>
      </w:r>
      <w:r>
        <w:rPr>
          <w:rFonts w:hint="eastAsia" w:ascii="宋体" w:hAnsi="宋体" w:cs="宋体"/>
          <w:kern w:val="0"/>
          <w:sz w:val="84"/>
          <w:szCs w:val="84"/>
        </w:rPr>
        <w:t>标</w:t>
      </w:r>
      <w:r>
        <w:rPr>
          <w:rFonts w:ascii="宋体" w:hAnsi="宋体" w:cs="宋体"/>
          <w:kern w:val="0"/>
          <w:sz w:val="84"/>
          <w:szCs w:val="84"/>
        </w:rPr>
        <w:t xml:space="preserve">  </w:t>
      </w:r>
      <w:r>
        <w:rPr>
          <w:rFonts w:hint="eastAsia" w:ascii="宋体" w:hAnsi="宋体" w:cs="宋体"/>
          <w:kern w:val="0"/>
          <w:sz w:val="84"/>
          <w:szCs w:val="84"/>
        </w:rPr>
        <w:t>文</w:t>
      </w:r>
      <w:r>
        <w:rPr>
          <w:rFonts w:ascii="宋体" w:hAnsi="宋体" w:cs="宋体"/>
          <w:kern w:val="0"/>
          <w:sz w:val="84"/>
          <w:szCs w:val="84"/>
        </w:rPr>
        <w:t xml:space="preserve">  </w:t>
      </w:r>
      <w:r>
        <w:rPr>
          <w:rFonts w:hint="eastAsia" w:ascii="宋体" w:hAnsi="宋体" w:cs="宋体"/>
          <w:kern w:val="0"/>
          <w:sz w:val="84"/>
          <w:szCs w:val="84"/>
        </w:rPr>
        <w:t>件</w:t>
      </w:r>
    </w:p>
    <w:p>
      <w:pPr>
        <w:wordWrap w:val="0"/>
        <w:autoSpaceDE w:val="0"/>
        <w:autoSpaceDN w:val="0"/>
        <w:adjustRightInd w:val="0"/>
        <w:snapToGrid w:val="0"/>
        <w:spacing w:line="360" w:lineRule="auto"/>
        <w:jc w:val="left"/>
        <w:rPr>
          <w:rFonts w:ascii="宋体"/>
          <w:kern w:val="0"/>
          <w:sz w:val="16"/>
          <w:szCs w:val="16"/>
        </w:rPr>
      </w:pPr>
    </w:p>
    <w:p>
      <w:pPr>
        <w:wordWrap w:val="0"/>
        <w:autoSpaceDE w:val="0"/>
        <w:autoSpaceDN w:val="0"/>
        <w:adjustRightInd w:val="0"/>
        <w:snapToGrid w:val="0"/>
        <w:spacing w:line="360" w:lineRule="auto"/>
        <w:jc w:val="center"/>
        <w:rPr>
          <w:rFonts w:ascii="宋体"/>
          <w:kern w:val="0"/>
          <w:sz w:val="36"/>
          <w:szCs w:val="36"/>
        </w:rPr>
      </w:pPr>
      <w:r>
        <w:rPr>
          <w:rFonts w:hint="eastAsia" w:ascii="宋体" w:hAnsi="宋体" w:cs="宋体"/>
          <w:kern w:val="0"/>
          <w:sz w:val="36"/>
          <w:szCs w:val="36"/>
        </w:rPr>
        <w:t>投标函部分</w:t>
      </w: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tabs>
          <w:tab w:val="left" w:pos="6080"/>
          <w:tab w:val="left" w:pos="6640"/>
        </w:tabs>
        <w:wordWrap w:val="0"/>
        <w:autoSpaceDE w:val="0"/>
        <w:autoSpaceDN w:val="0"/>
        <w:adjustRightInd w:val="0"/>
        <w:snapToGrid w:val="0"/>
        <w:spacing w:line="360" w:lineRule="auto"/>
        <w:jc w:val="center"/>
        <w:rPr>
          <w:rFonts w:ascii="宋体"/>
          <w:w w:val="99"/>
          <w:kern w:val="0"/>
          <w:sz w:val="28"/>
          <w:szCs w:val="28"/>
        </w:rPr>
      </w:pPr>
      <w:r>
        <w:rPr>
          <w:rFonts w:hint="eastAsia" w:ascii="宋体" w:hAnsi="宋体" w:cs="宋体"/>
          <w:w w:val="99"/>
          <w:kern w:val="0"/>
          <w:sz w:val="28"/>
          <w:szCs w:val="28"/>
        </w:rPr>
        <w:t>投标人</w:t>
      </w:r>
      <w:r>
        <w:rPr>
          <w:rFonts w:hint="eastAsia" w:ascii="宋体" w:hAnsi="宋体" w:cs="宋体"/>
          <w:spacing w:val="1"/>
          <w:w w:val="99"/>
          <w:kern w:val="0"/>
          <w:sz w:val="28"/>
          <w:szCs w:val="28"/>
        </w:rPr>
        <w:t>：</w:t>
      </w:r>
      <w:r>
        <w:rPr>
          <w:rFonts w:hint="eastAsia" w:ascii="宋体" w:hAnsi="宋体" w:cs="宋体"/>
          <w:w w:val="198"/>
          <w:kern w:val="0"/>
          <w:sz w:val="28"/>
          <w:szCs w:val="28"/>
          <w:u w:val="single"/>
        </w:rPr>
        <w:t xml:space="preserve">            </w:t>
      </w:r>
      <w:r>
        <w:rPr>
          <w:rFonts w:ascii="宋体" w:hAnsi="宋体" w:cs="宋体"/>
          <w:w w:val="198"/>
          <w:kern w:val="0"/>
          <w:sz w:val="28"/>
          <w:szCs w:val="28"/>
          <w:u w:val="single"/>
        </w:rPr>
        <w:t xml:space="preserve"> </w:t>
      </w:r>
      <w:r>
        <w:rPr>
          <w:rFonts w:hint="eastAsia" w:ascii="宋体" w:hAnsi="宋体" w:cs="宋体"/>
          <w:w w:val="198"/>
          <w:kern w:val="0"/>
          <w:sz w:val="28"/>
          <w:szCs w:val="28"/>
          <w:u w:val="single"/>
        </w:rPr>
        <w:t xml:space="preserve">      </w:t>
      </w:r>
      <w:r>
        <w:rPr>
          <w:rFonts w:hint="eastAsia" w:ascii="宋体" w:hAnsi="宋体" w:cs="宋体"/>
          <w:w w:val="99"/>
          <w:kern w:val="0"/>
          <w:sz w:val="28"/>
          <w:szCs w:val="28"/>
        </w:rPr>
        <w:t>（盖单位公章）</w:t>
      </w:r>
    </w:p>
    <w:p>
      <w:pPr>
        <w:tabs>
          <w:tab w:val="left" w:pos="6080"/>
          <w:tab w:val="left" w:pos="6640"/>
        </w:tabs>
        <w:wordWrap w:val="0"/>
        <w:autoSpaceDE w:val="0"/>
        <w:autoSpaceDN w:val="0"/>
        <w:adjustRightInd w:val="0"/>
        <w:snapToGrid w:val="0"/>
        <w:spacing w:line="360" w:lineRule="auto"/>
        <w:jc w:val="center"/>
        <w:rPr>
          <w:rFonts w:ascii="宋体"/>
          <w:kern w:val="0"/>
          <w:sz w:val="28"/>
          <w:szCs w:val="28"/>
        </w:rPr>
      </w:pPr>
      <w:r>
        <w:rPr>
          <w:rFonts w:hint="eastAsia" w:ascii="宋体" w:hAnsi="宋体" w:cs="宋体"/>
          <w:w w:val="99"/>
          <w:kern w:val="0"/>
          <w:sz w:val="28"/>
          <w:szCs w:val="28"/>
        </w:rPr>
        <w:t>法定代表人或其委托代理人：</w:t>
      </w:r>
      <w:r>
        <w:rPr>
          <w:rFonts w:hint="eastAsia" w:ascii="宋体" w:hAnsi="宋体" w:cs="宋体"/>
          <w:w w:val="198"/>
          <w:kern w:val="0"/>
          <w:sz w:val="28"/>
          <w:szCs w:val="28"/>
          <w:u w:val="single"/>
        </w:rPr>
        <w:t xml:space="preserve">      </w:t>
      </w:r>
      <w:r>
        <w:rPr>
          <w:rFonts w:ascii="宋体" w:hAnsi="宋体" w:cs="宋体"/>
          <w:w w:val="198"/>
          <w:kern w:val="0"/>
          <w:sz w:val="28"/>
          <w:szCs w:val="28"/>
          <w:u w:val="single"/>
        </w:rPr>
        <w:t xml:space="preserve"> </w:t>
      </w:r>
      <w:r>
        <w:rPr>
          <w:rFonts w:hint="eastAsia" w:ascii="宋体" w:hAnsi="宋体" w:cs="宋体"/>
          <w:w w:val="198"/>
          <w:kern w:val="0"/>
          <w:sz w:val="28"/>
          <w:szCs w:val="28"/>
          <w:u w:val="single"/>
        </w:rPr>
        <w:t xml:space="preserve">   </w:t>
      </w:r>
      <w:r>
        <w:rPr>
          <w:rFonts w:hint="eastAsia" w:ascii="宋体" w:hAnsi="宋体" w:cs="宋体"/>
          <w:w w:val="99"/>
          <w:kern w:val="0"/>
          <w:sz w:val="28"/>
          <w:szCs w:val="28"/>
        </w:rPr>
        <w:t>（签字）</w:t>
      </w:r>
    </w:p>
    <w:p>
      <w:pPr>
        <w:tabs>
          <w:tab w:val="left" w:pos="3280"/>
          <w:tab w:val="left" w:pos="4680"/>
          <w:tab w:val="left" w:pos="6080"/>
        </w:tabs>
        <w:wordWrap w:val="0"/>
        <w:autoSpaceDE w:val="0"/>
        <w:autoSpaceDN w:val="0"/>
        <w:adjustRightInd w:val="0"/>
        <w:snapToGrid w:val="0"/>
        <w:spacing w:line="360" w:lineRule="auto"/>
        <w:jc w:val="center"/>
        <w:rPr>
          <w:rFonts w:ascii="宋体"/>
          <w:kern w:val="0"/>
          <w:sz w:val="28"/>
          <w:szCs w:val="28"/>
        </w:rPr>
      </w:pPr>
      <w:r>
        <w:rPr>
          <w:rFonts w:ascii="宋体" w:hAnsi="宋体" w:cs="宋体"/>
          <w:w w:val="99"/>
          <w:kern w:val="0"/>
          <w:sz w:val="28"/>
          <w:szCs w:val="28"/>
          <w:u w:val="single"/>
        </w:rPr>
        <w:t xml:space="preserve">     </w:t>
      </w:r>
      <w:r>
        <w:rPr>
          <w:rFonts w:hint="eastAsia" w:ascii="宋体" w:hAnsi="宋体" w:cs="宋体"/>
          <w:w w:val="99"/>
          <w:kern w:val="0"/>
          <w:sz w:val="28"/>
          <w:szCs w:val="28"/>
        </w:rPr>
        <w:t>年</w:t>
      </w:r>
      <w:r>
        <w:rPr>
          <w:rFonts w:ascii="宋体" w:hAnsi="宋体" w:cs="宋体"/>
          <w:w w:val="99"/>
          <w:kern w:val="0"/>
          <w:sz w:val="28"/>
          <w:szCs w:val="28"/>
          <w:u w:val="single"/>
        </w:rPr>
        <w:t xml:space="preserve">   </w:t>
      </w:r>
      <w:r>
        <w:rPr>
          <w:rFonts w:hint="eastAsia" w:ascii="宋体" w:hAnsi="宋体" w:cs="宋体"/>
          <w:w w:val="99"/>
          <w:kern w:val="0"/>
          <w:sz w:val="28"/>
          <w:szCs w:val="28"/>
        </w:rPr>
        <w:t>月</w:t>
      </w:r>
      <w:r>
        <w:rPr>
          <w:rFonts w:ascii="宋体" w:hAnsi="宋体" w:cs="宋体"/>
          <w:w w:val="99"/>
          <w:kern w:val="0"/>
          <w:sz w:val="28"/>
          <w:szCs w:val="28"/>
          <w:u w:val="single"/>
        </w:rPr>
        <w:t xml:space="preserve">   </w:t>
      </w:r>
      <w:r>
        <w:rPr>
          <w:rFonts w:hint="eastAsia" w:ascii="宋体" w:hAnsi="宋体" w:cs="宋体"/>
          <w:w w:val="99"/>
          <w:kern w:val="0"/>
          <w:sz w:val="28"/>
          <w:szCs w:val="28"/>
        </w:rPr>
        <w:t>日</w:t>
      </w:r>
    </w:p>
    <w:p>
      <w:pPr>
        <w:wordWrap w:val="0"/>
        <w:autoSpaceDE w:val="0"/>
        <w:autoSpaceDN w:val="0"/>
        <w:adjustRightInd w:val="0"/>
        <w:snapToGrid w:val="0"/>
        <w:spacing w:line="360" w:lineRule="auto"/>
        <w:jc w:val="center"/>
        <w:rPr>
          <w:rFonts w:ascii="宋体"/>
          <w:kern w:val="0"/>
          <w:sz w:val="32"/>
          <w:szCs w:val="32"/>
        </w:rPr>
      </w:pPr>
      <w:r>
        <w:rPr>
          <w:rFonts w:ascii="宋体"/>
          <w:kern w:val="0"/>
          <w:sz w:val="24"/>
          <w:szCs w:val="24"/>
        </w:rPr>
        <w:br w:type="page"/>
      </w:r>
      <w:r>
        <w:rPr>
          <w:rFonts w:hint="eastAsia" w:ascii="宋体" w:hAnsi="宋体" w:cs="宋体"/>
          <w:kern w:val="0"/>
          <w:sz w:val="32"/>
          <w:szCs w:val="32"/>
        </w:rPr>
        <w:t>目</w:t>
      </w:r>
      <w:r>
        <w:rPr>
          <w:rFonts w:ascii="宋体" w:hAnsi="宋体" w:cs="宋体"/>
          <w:kern w:val="0"/>
          <w:sz w:val="32"/>
          <w:szCs w:val="32"/>
        </w:rPr>
        <w:t xml:space="preserve">     </w:t>
      </w:r>
      <w:r>
        <w:rPr>
          <w:rFonts w:hint="eastAsia" w:ascii="宋体" w:hAnsi="宋体" w:cs="宋体"/>
          <w:kern w:val="0"/>
          <w:sz w:val="32"/>
          <w:szCs w:val="32"/>
        </w:rPr>
        <w:t>录</w:t>
      </w:r>
    </w:p>
    <w:p>
      <w:pPr>
        <w:wordWrap w:val="0"/>
        <w:autoSpaceDE w:val="0"/>
        <w:autoSpaceDN w:val="0"/>
        <w:adjustRightInd w:val="0"/>
        <w:snapToGrid w:val="0"/>
        <w:spacing w:line="360" w:lineRule="auto"/>
        <w:jc w:val="left"/>
        <w:rPr>
          <w:rFonts w:ascii="宋体"/>
          <w:kern w:val="0"/>
          <w:sz w:val="24"/>
          <w:szCs w:val="24"/>
        </w:rPr>
      </w:pPr>
    </w:p>
    <w:p>
      <w:pPr>
        <w:autoSpaceDE w:val="0"/>
        <w:autoSpaceDN w:val="0"/>
        <w:adjustRightInd w:val="0"/>
        <w:spacing w:line="480" w:lineRule="auto"/>
        <w:ind w:right="-20"/>
        <w:jc w:val="left"/>
        <w:rPr>
          <w:rFonts w:ascii="宋体" w:hAnsi="宋体" w:cs="MingLiU"/>
          <w:kern w:val="0"/>
          <w:sz w:val="24"/>
        </w:rPr>
      </w:pPr>
      <w:r>
        <w:rPr>
          <w:rFonts w:hint="eastAsia" w:ascii="宋体" w:hAnsi="宋体" w:cs="MingLiU"/>
          <w:kern w:val="0"/>
          <w:sz w:val="24"/>
        </w:rPr>
        <w:t>（一）投标函</w:t>
      </w:r>
    </w:p>
    <w:p>
      <w:pPr>
        <w:autoSpaceDE w:val="0"/>
        <w:autoSpaceDN w:val="0"/>
        <w:adjustRightInd w:val="0"/>
        <w:spacing w:line="480" w:lineRule="auto"/>
        <w:ind w:right="-20"/>
        <w:jc w:val="left"/>
        <w:rPr>
          <w:rFonts w:ascii="宋体" w:hAnsi="宋体" w:cs="MingLiU"/>
          <w:kern w:val="0"/>
          <w:sz w:val="24"/>
        </w:rPr>
      </w:pPr>
      <w:r>
        <w:rPr>
          <w:rFonts w:hint="eastAsia" w:ascii="宋体" w:hAnsi="宋体" w:cs="MingLiU"/>
          <w:kern w:val="0"/>
          <w:sz w:val="24"/>
        </w:rPr>
        <w:t>（二）投标函附录</w:t>
      </w:r>
    </w:p>
    <w:p>
      <w:pPr>
        <w:autoSpaceDE w:val="0"/>
        <w:autoSpaceDN w:val="0"/>
        <w:adjustRightInd w:val="0"/>
        <w:spacing w:line="480" w:lineRule="auto"/>
        <w:ind w:right="-20"/>
        <w:jc w:val="left"/>
        <w:rPr>
          <w:rFonts w:hint="eastAsia" w:ascii="宋体" w:hAnsi="宋体" w:cs="MingLiU"/>
          <w:kern w:val="0"/>
          <w:sz w:val="24"/>
        </w:rPr>
      </w:pPr>
      <w:r>
        <w:rPr>
          <w:rFonts w:hint="eastAsia" w:ascii="宋体" w:hAnsi="宋体" w:cs="MingLiU"/>
          <w:kern w:val="0"/>
          <w:sz w:val="24"/>
        </w:rPr>
        <w:t>（三）法定代表人身份证明及授权委托书</w:t>
      </w:r>
    </w:p>
    <w:p>
      <w:pPr>
        <w:pStyle w:val="2"/>
        <w:rPr>
          <w:rFonts w:ascii="宋体" w:hAnsi="宋体"/>
          <w:sz w:val="28"/>
        </w:rPr>
      </w:pPr>
      <w:r>
        <w:rPr>
          <w:rFonts w:hint="eastAsia" w:ascii="宋体" w:hAnsi="宋体" w:cs="MingLiU"/>
          <w:kern w:val="0"/>
          <w:sz w:val="24"/>
          <w:lang w:eastAsia="zh-CN"/>
        </w:rPr>
        <w:t>（四）投标保证金</w:t>
      </w:r>
      <w:r>
        <w:rPr>
          <w:rFonts w:hint="eastAsia" w:ascii="宋体" w:hAnsi="宋体"/>
          <w:b/>
          <w:kern w:val="0"/>
          <w:sz w:val="24"/>
        </w:rPr>
        <w:t>（适用于投标保证金采用现金转账形式的）</w:t>
      </w:r>
      <w:r>
        <w:rPr>
          <w:rFonts w:ascii="宋体"/>
          <w:b w:val="0"/>
        </w:rPr>
        <w:br w:type="page"/>
      </w:r>
      <w:bookmarkStart w:id="1351" w:name="_Toc445733399"/>
      <w:bookmarkStart w:id="1352" w:name="_Toc25015"/>
      <w:bookmarkStart w:id="1353" w:name="_Toc438127591"/>
      <w:bookmarkStart w:id="1354" w:name="_Toc437509476"/>
      <w:bookmarkStart w:id="1355" w:name="_Toc25895"/>
      <w:r>
        <w:rPr>
          <w:rFonts w:hint="eastAsia" w:ascii="宋体"/>
          <w:b w:val="0"/>
          <w:lang w:val="en-US" w:eastAsia="zh-CN"/>
        </w:rPr>
        <w:t xml:space="preserve">                                </w:t>
      </w:r>
      <w:bookmarkStart w:id="1381" w:name="_GoBack"/>
      <w:bookmarkEnd w:id="1381"/>
      <w:r>
        <w:rPr>
          <w:rFonts w:hint="eastAsia" w:ascii="宋体" w:hAnsi="宋体"/>
          <w:sz w:val="28"/>
        </w:rPr>
        <w:t>（一） 投标函</w:t>
      </w:r>
      <w:bookmarkEnd w:id="1351"/>
    </w:p>
    <w:p>
      <w:pPr>
        <w:tabs>
          <w:tab w:val="left" w:pos="2640"/>
        </w:tabs>
        <w:autoSpaceDE w:val="0"/>
        <w:autoSpaceDN w:val="0"/>
        <w:adjustRightInd w:val="0"/>
        <w:spacing w:line="360" w:lineRule="auto"/>
        <w:ind w:left="120" w:right="-20"/>
        <w:jc w:val="left"/>
        <w:rPr>
          <w:rFonts w:ascii="宋体" w:hAnsi="宋体" w:cs="MingLiU"/>
          <w:snapToGrid w:val="0"/>
          <w:kern w:val="0"/>
        </w:rPr>
      </w:pPr>
      <w:r>
        <w:rPr>
          <w:rFonts w:hint="eastAsia" w:ascii="宋体" w:hAnsi="宋体" w:cs="MingLiU"/>
          <w:snapToGrid w:val="0"/>
          <w:kern w:val="0"/>
          <w:u w:val="single"/>
        </w:rPr>
        <w:t>重庆铜梁高新技术产业开发区管委会</w:t>
      </w:r>
      <w:r>
        <w:rPr>
          <w:rFonts w:hint="eastAsia" w:ascii="宋体" w:hAnsi="宋体" w:cs="MingLiU"/>
          <w:snapToGrid w:val="0"/>
          <w:kern w:val="0"/>
        </w:rPr>
        <w:t>：</w:t>
      </w:r>
    </w:p>
    <w:p>
      <w:pPr>
        <w:tabs>
          <w:tab w:val="left" w:pos="2655"/>
          <w:tab w:val="left" w:pos="3520"/>
          <w:tab w:val="left" w:pos="4920"/>
          <w:tab w:val="left" w:pos="5715"/>
          <w:tab w:val="left" w:pos="7980"/>
        </w:tabs>
        <w:autoSpaceDE w:val="0"/>
        <w:autoSpaceDN w:val="0"/>
        <w:adjustRightInd w:val="0"/>
        <w:spacing w:line="360" w:lineRule="auto"/>
        <w:ind w:left="120" w:leftChars="57" w:right="94" w:firstLine="420" w:firstLineChars="200"/>
        <w:rPr>
          <w:rFonts w:ascii="宋体" w:hAnsi="宋体" w:cs="MingLiU"/>
          <w:snapToGrid w:val="0"/>
          <w:kern w:val="0"/>
        </w:rPr>
      </w:pPr>
      <w:r>
        <w:rPr>
          <w:rFonts w:ascii="宋体" w:hAnsi="宋体"/>
          <w:snapToGrid w:val="0"/>
          <w:kern w:val="0"/>
        </w:rPr>
        <w:t>1</w:t>
      </w:r>
      <w:r>
        <w:rPr>
          <w:rFonts w:hint="eastAsia" w:ascii="宋体" w:hAnsi="宋体" w:cs="MingLiU"/>
          <w:snapToGrid w:val="0"/>
          <w:kern w:val="0"/>
        </w:rPr>
        <w:t>．我方已仔细研究了</w:t>
      </w:r>
      <w:r>
        <w:rPr>
          <w:rFonts w:hint="eastAsia" w:ascii="宋体" w:hAnsi="宋体" w:cs="MingLiU"/>
          <w:snapToGrid w:val="0"/>
          <w:kern w:val="0"/>
          <w:u w:val="single"/>
        </w:rPr>
        <w:t xml:space="preserve">                                 </w:t>
      </w:r>
      <w:r>
        <w:rPr>
          <w:rFonts w:hint="eastAsia" w:ascii="宋体" w:hAnsi="宋体" w:cs="MingLiU"/>
          <w:snapToGrid w:val="0"/>
          <w:kern w:val="0"/>
        </w:rPr>
        <w:t>（项目名称）施工比选文件的全部内容，</w:t>
      </w:r>
      <w:r>
        <w:rPr>
          <w:rFonts w:ascii="宋体" w:hAnsi="宋体"/>
          <w:snapToGrid w:val="0"/>
          <w:kern w:val="0"/>
          <w:szCs w:val="21"/>
        </w:rPr>
        <w:t>愿意以人民币（大写）</w:t>
      </w:r>
      <w:r>
        <w:rPr>
          <w:rFonts w:ascii="宋体" w:hAnsi="宋体"/>
          <w:snapToGrid w:val="0"/>
          <w:kern w:val="0"/>
          <w:szCs w:val="21"/>
          <w:u w:val="single"/>
        </w:rPr>
        <w:tab/>
      </w:r>
      <w:r>
        <w:rPr>
          <w:rFonts w:ascii="宋体" w:hAnsi="宋体"/>
          <w:snapToGrid w:val="0"/>
          <w:kern w:val="0"/>
          <w:szCs w:val="21"/>
        </w:rPr>
        <w:t>（</w:t>
      </w:r>
      <w:r>
        <w:rPr>
          <w:rFonts w:hint="eastAsia" w:ascii="宋体" w:hAnsi="宋体" w:cs="宋体"/>
          <w:snapToGrid w:val="0"/>
          <w:kern w:val="0"/>
          <w:szCs w:val="21"/>
        </w:rPr>
        <w:t>¥</w:t>
      </w:r>
      <w:r>
        <w:rPr>
          <w:rFonts w:ascii="宋体" w:hAnsi="宋体"/>
          <w:snapToGrid w:val="0"/>
          <w:kern w:val="0"/>
          <w:szCs w:val="21"/>
          <w:u w:val="single"/>
        </w:rPr>
        <w:tab/>
      </w:r>
      <w:r>
        <w:rPr>
          <w:rFonts w:ascii="宋体" w:hAnsi="宋体"/>
          <w:snapToGrid w:val="0"/>
          <w:kern w:val="0"/>
          <w:szCs w:val="21"/>
        </w:rPr>
        <w:t>）的投标总报价，其中</w:t>
      </w:r>
      <w:r>
        <w:rPr>
          <w:rFonts w:ascii="宋体" w:hAnsi="宋体"/>
          <w:snapToGrid w:val="0"/>
          <w:kern w:val="0"/>
        </w:rPr>
        <w:t>安全文明施工费暂定金额为人民币</w:t>
      </w:r>
      <w:r>
        <w:rPr>
          <w:rFonts w:ascii="宋体" w:hAnsi="宋体"/>
          <w:snapToGrid w:val="0"/>
          <w:kern w:val="0"/>
          <w:u w:val="single"/>
        </w:rPr>
        <w:t xml:space="preserve">     </w:t>
      </w:r>
      <w:r>
        <w:rPr>
          <w:rFonts w:hint="eastAsia" w:ascii="宋体" w:hAnsi="宋体" w:cs="宋体"/>
          <w:snapToGrid w:val="0"/>
          <w:kern w:val="0"/>
          <w:u w:val="single"/>
        </w:rPr>
        <w:t>   </w:t>
      </w:r>
      <w:r>
        <w:rPr>
          <w:rFonts w:ascii="宋体" w:hAnsi="宋体"/>
          <w:snapToGrid w:val="0"/>
          <w:kern w:val="0"/>
        </w:rPr>
        <w:t>元</w:t>
      </w:r>
      <w:r>
        <w:rPr>
          <w:rFonts w:ascii="宋体" w:hAnsi="宋体"/>
          <w:snapToGrid w:val="0"/>
          <w:kern w:val="0"/>
          <w:szCs w:val="21"/>
        </w:rPr>
        <w:t>，该工程</w:t>
      </w:r>
      <w:r>
        <w:rPr>
          <w:rFonts w:ascii="宋体" w:hAnsi="宋体"/>
          <w:snapToGrid w:val="0"/>
          <w:kern w:val="0"/>
        </w:rPr>
        <w:t>项目经理为</w:t>
      </w:r>
      <w:r>
        <w:rPr>
          <w:rFonts w:hint="eastAsia" w:ascii="宋体" w:hAnsi="宋体"/>
          <w:snapToGrid w:val="0"/>
          <w:kern w:val="0"/>
          <w:u w:val="single"/>
        </w:rPr>
        <w:t xml:space="preserve">        </w:t>
      </w:r>
      <w:r>
        <w:rPr>
          <w:rFonts w:hint="eastAsia" w:ascii="宋体" w:hAnsi="宋体"/>
          <w:snapToGrid w:val="0"/>
          <w:kern w:val="0"/>
          <w:szCs w:val="21"/>
        </w:rPr>
        <w:t>，</w:t>
      </w:r>
      <w:r>
        <w:rPr>
          <w:rFonts w:hint="eastAsia" w:ascii="宋体" w:hAnsi="宋体" w:cs="MingLiU"/>
          <w:snapToGrid w:val="0"/>
          <w:kern w:val="0"/>
        </w:rPr>
        <w:t>工期</w:t>
      </w:r>
      <w:r>
        <w:rPr>
          <w:rFonts w:hint="eastAsia" w:ascii="宋体" w:hAnsi="宋体" w:cs="MingLiU"/>
          <w:snapToGrid w:val="0"/>
          <w:kern w:val="0"/>
          <w:u w:val="single"/>
        </w:rPr>
        <w:t>  </w:t>
      </w:r>
      <w:r>
        <w:rPr>
          <w:rFonts w:hint="eastAsia" w:ascii="宋体" w:hAnsi="宋体" w:cs="MingLiU"/>
          <w:snapToGrid w:val="0"/>
          <w:kern w:val="0"/>
        </w:rPr>
        <w:t>日历天，按合同约定实施和完成承包工程，修补工程中的任何缺陷，工程质量达到</w:t>
      </w:r>
      <w:r>
        <w:rPr>
          <w:rFonts w:hint="eastAsia" w:ascii="宋体" w:hAnsi="宋体" w:cs="MingLiU"/>
          <w:snapToGrid w:val="0"/>
          <w:kern w:val="0"/>
          <w:u w:val="single"/>
        </w:rPr>
        <w:t>           </w:t>
      </w:r>
      <w:r>
        <w:rPr>
          <w:rFonts w:hint="eastAsia" w:ascii="宋体" w:hAnsi="宋体" w:cs="MingLiU"/>
          <w:snapToGrid w:val="0"/>
          <w:kern w:val="0"/>
        </w:rPr>
        <w:t>。</w:t>
      </w:r>
    </w:p>
    <w:p>
      <w:pPr>
        <w:autoSpaceDE w:val="0"/>
        <w:autoSpaceDN w:val="0"/>
        <w:adjustRightInd w:val="0"/>
        <w:spacing w:before="15" w:line="360" w:lineRule="auto"/>
        <w:ind w:left="540" w:right="-20"/>
        <w:jc w:val="left"/>
        <w:rPr>
          <w:rFonts w:ascii="宋体" w:hAnsi="宋体" w:cs="MingLiU"/>
          <w:snapToGrid w:val="0"/>
          <w:kern w:val="0"/>
        </w:rPr>
      </w:pPr>
      <w:r>
        <w:rPr>
          <w:rFonts w:ascii="宋体" w:hAnsi="宋体"/>
          <w:snapToGrid w:val="0"/>
          <w:kern w:val="0"/>
        </w:rPr>
        <w:t>2</w:t>
      </w:r>
      <w:r>
        <w:rPr>
          <w:rFonts w:hint="eastAsia" w:ascii="宋体" w:hAnsi="宋体" w:cs="MingLiU"/>
          <w:snapToGrid w:val="0"/>
          <w:kern w:val="0"/>
        </w:rPr>
        <w:t>．我方承诺在投标有效期内不修改、撤销投标文件。</w:t>
      </w:r>
    </w:p>
    <w:p>
      <w:pPr>
        <w:tabs>
          <w:tab w:val="left" w:pos="2730"/>
          <w:tab w:val="left" w:pos="7770"/>
        </w:tabs>
        <w:autoSpaceDE w:val="0"/>
        <w:autoSpaceDN w:val="0"/>
        <w:adjustRightInd w:val="0"/>
        <w:spacing w:line="360" w:lineRule="auto"/>
        <w:ind w:right="-119" w:firstLine="539" w:firstLineChars="257"/>
        <w:jc w:val="left"/>
        <w:rPr>
          <w:rFonts w:ascii="宋体" w:hAnsi="宋体" w:cs="MingLiU"/>
          <w:snapToGrid w:val="0"/>
          <w:kern w:val="0"/>
        </w:rPr>
      </w:pPr>
      <w:r>
        <w:rPr>
          <w:rFonts w:ascii="宋体" w:hAnsi="宋体"/>
          <w:snapToGrid w:val="0"/>
          <w:kern w:val="0"/>
        </w:rPr>
        <w:t>3</w:t>
      </w:r>
      <w:r>
        <w:rPr>
          <w:rFonts w:hint="eastAsia" w:ascii="宋体" w:hAnsi="宋体" w:cs="MingLiU"/>
          <w:snapToGrid w:val="0"/>
          <w:kern w:val="0"/>
        </w:rPr>
        <w:t>．我公司承诺在按照比选文件要求缴纳投标保证金，金额为人民币（大写）</w:t>
      </w:r>
      <w:r>
        <w:rPr>
          <w:rFonts w:ascii="宋体" w:hAnsi="宋体" w:cs="MingLiU"/>
          <w:snapToGrid w:val="0"/>
          <w:w w:val="200"/>
          <w:kern w:val="0"/>
          <w:u w:val="single"/>
        </w:rPr>
        <w:t xml:space="preserve"> </w:t>
      </w:r>
      <w:r>
        <w:rPr>
          <w:rFonts w:ascii="宋体" w:hAnsi="宋体"/>
          <w:snapToGrid w:val="0"/>
          <w:kern w:val="0"/>
          <w:u w:val="single"/>
        </w:rPr>
        <w:tab/>
      </w:r>
      <w:r>
        <w:rPr>
          <w:rFonts w:hint="eastAsia" w:ascii="宋体" w:hAnsi="宋体" w:cs="MingLiU"/>
          <w:snapToGrid w:val="0"/>
          <w:kern w:val="0"/>
        </w:rPr>
        <w:t>（</w:t>
      </w:r>
      <w:r>
        <w:rPr>
          <w:rFonts w:ascii="宋体" w:hAnsi="宋体"/>
          <w:snapToGrid w:val="0"/>
          <w:kern w:val="0"/>
        </w:rPr>
        <w:t>¥</w:t>
      </w:r>
      <w:r>
        <w:rPr>
          <w:rFonts w:ascii="宋体" w:hAnsi="宋体" w:cs="MingLiU"/>
          <w:snapToGrid w:val="0"/>
          <w:w w:val="200"/>
          <w:kern w:val="0"/>
          <w:u w:val="single"/>
        </w:rPr>
        <w:t xml:space="preserve"> </w:t>
      </w:r>
      <w:r>
        <w:rPr>
          <w:rFonts w:ascii="宋体" w:hAnsi="宋体"/>
          <w:snapToGrid w:val="0"/>
          <w:kern w:val="0"/>
          <w:u w:val="single"/>
        </w:rPr>
        <w:tab/>
      </w:r>
      <w:r>
        <w:rPr>
          <w:rFonts w:hint="eastAsia" w:ascii="宋体" w:hAnsi="宋体"/>
          <w:snapToGrid w:val="0"/>
          <w:kern w:val="0"/>
          <w:u w:val="single"/>
        </w:rPr>
        <w:t xml:space="preserve">  </w:t>
      </w:r>
      <w:r>
        <w:rPr>
          <w:rFonts w:hint="eastAsia" w:ascii="宋体" w:hAnsi="宋体"/>
          <w:snapToGrid w:val="0"/>
          <w:kern w:val="0"/>
        </w:rPr>
        <w:t>元</w:t>
      </w:r>
      <w:r>
        <w:rPr>
          <w:rFonts w:hint="eastAsia" w:ascii="宋体" w:hAnsi="宋体" w:cs="MingLiU"/>
          <w:snapToGrid w:val="0"/>
          <w:kern w:val="0"/>
        </w:rPr>
        <w:t>）。</w:t>
      </w:r>
    </w:p>
    <w:p>
      <w:pPr>
        <w:autoSpaceDE w:val="0"/>
        <w:autoSpaceDN w:val="0"/>
        <w:adjustRightInd w:val="0"/>
        <w:spacing w:line="360" w:lineRule="auto"/>
        <w:ind w:left="540" w:right="-20"/>
        <w:jc w:val="left"/>
        <w:rPr>
          <w:rFonts w:ascii="宋体" w:hAnsi="宋体" w:cs="MingLiU"/>
          <w:snapToGrid w:val="0"/>
          <w:kern w:val="0"/>
        </w:rPr>
      </w:pPr>
      <w:r>
        <w:rPr>
          <w:rFonts w:ascii="宋体" w:hAnsi="宋体"/>
          <w:snapToGrid w:val="0"/>
          <w:kern w:val="0"/>
        </w:rPr>
        <w:t>4</w:t>
      </w:r>
      <w:r>
        <w:rPr>
          <w:rFonts w:hint="eastAsia" w:ascii="宋体" w:hAnsi="宋体" w:cs="MingLiU"/>
          <w:snapToGrid w:val="0"/>
          <w:kern w:val="0"/>
        </w:rPr>
        <w:t>．如我方中标：</w:t>
      </w:r>
    </w:p>
    <w:p>
      <w:pPr>
        <w:autoSpaceDE w:val="0"/>
        <w:autoSpaceDN w:val="0"/>
        <w:adjustRightInd w:val="0"/>
        <w:spacing w:line="360" w:lineRule="auto"/>
        <w:ind w:left="838" w:right="-80"/>
        <w:jc w:val="left"/>
        <w:rPr>
          <w:rFonts w:ascii="宋体" w:hAnsi="宋体" w:cs="MingLiU"/>
          <w:snapToGrid w:val="0"/>
          <w:kern w:val="0"/>
        </w:rPr>
      </w:pPr>
      <w:r>
        <w:rPr>
          <w:rFonts w:hint="eastAsia" w:ascii="宋体" w:hAnsi="宋体" w:cs="MingLiU"/>
          <w:snapToGrid w:val="0"/>
          <w:kern w:val="0"/>
        </w:rPr>
        <w:t>（</w:t>
      </w:r>
      <w:r>
        <w:rPr>
          <w:rFonts w:ascii="宋体" w:hAnsi="宋体"/>
          <w:snapToGrid w:val="0"/>
          <w:kern w:val="0"/>
        </w:rPr>
        <w:t>1</w:t>
      </w:r>
      <w:r>
        <w:rPr>
          <w:rFonts w:hint="eastAsia" w:ascii="宋体" w:hAnsi="宋体" w:cs="MingLiU"/>
          <w:snapToGrid w:val="0"/>
          <w:kern w:val="0"/>
        </w:rPr>
        <w:t>）我方承诺在收到中标通知书后，在中标通知书规定的期限内与你方签订合同。</w:t>
      </w:r>
    </w:p>
    <w:p>
      <w:pPr>
        <w:autoSpaceDE w:val="0"/>
        <w:autoSpaceDN w:val="0"/>
        <w:adjustRightInd w:val="0"/>
        <w:spacing w:line="360" w:lineRule="auto"/>
        <w:ind w:left="838" w:right="-20"/>
        <w:jc w:val="left"/>
        <w:rPr>
          <w:rFonts w:ascii="宋体" w:hAnsi="宋体" w:cs="MingLiU"/>
          <w:snapToGrid w:val="0"/>
          <w:kern w:val="0"/>
        </w:rPr>
      </w:pPr>
      <w:r>
        <w:rPr>
          <w:rFonts w:hint="eastAsia" w:ascii="宋体" w:hAnsi="宋体" w:cs="MingLiU"/>
          <w:snapToGrid w:val="0"/>
          <w:kern w:val="0"/>
        </w:rPr>
        <w:t>（</w:t>
      </w:r>
      <w:r>
        <w:rPr>
          <w:rFonts w:hint="eastAsia" w:ascii="宋体" w:hAnsi="宋体"/>
          <w:snapToGrid w:val="0"/>
          <w:kern w:val="0"/>
        </w:rPr>
        <w:t>2</w:t>
      </w:r>
      <w:r>
        <w:rPr>
          <w:rFonts w:hint="eastAsia" w:ascii="宋体" w:hAnsi="宋体" w:cs="MingLiU"/>
          <w:snapToGrid w:val="0"/>
          <w:kern w:val="0"/>
        </w:rPr>
        <w:t>）我方承诺按照比选文件规定向你方递交履约担保。</w:t>
      </w:r>
    </w:p>
    <w:p>
      <w:pPr>
        <w:autoSpaceDE w:val="0"/>
        <w:autoSpaceDN w:val="0"/>
        <w:adjustRightInd w:val="0"/>
        <w:spacing w:line="360" w:lineRule="auto"/>
        <w:ind w:left="838" w:right="-20"/>
        <w:jc w:val="left"/>
        <w:rPr>
          <w:rFonts w:ascii="宋体" w:hAnsi="宋体" w:cs="MingLiU"/>
          <w:snapToGrid w:val="0"/>
          <w:kern w:val="0"/>
        </w:rPr>
      </w:pPr>
      <w:r>
        <w:rPr>
          <w:rFonts w:hint="eastAsia" w:ascii="宋体" w:hAnsi="宋体" w:cs="MingLiU"/>
          <w:snapToGrid w:val="0"/>
          <w:kern w:val="0"/>
        </w:rPr>
        <w:t>（</w:t>
      </w:r>
      <w:r>
        <w:rPr>
          <w:rFonts w:hint="eastAsia" w:ascii="宋体" w:hAnsi="宋体"/>
          <w:snapToGrid w:val="0"/>
          <w:kern w:val="0"/>
        </w:rPr>
        <w:t>3</w:t>
      </w:r>
      <w:r>
        <w:rPr>
          <w:rFonts w:hint="eastAsia" w:ascii="宋体" w:hAnsi="宋体" w:cs="MingLiU"/>
          <w:snapToGrid w:val="0"/>
          <w:kern w:val="0"/>
        </w:rPr>
        <w:t>）我方承诺在合同约定的期限内完成并移交全部合同工程。</w:t>
      </w:r>
    </w:p>
    <w:p>
      <w:pPr>
        <w:autoSpaceDE w:val="0"/>
        <w:autoSpaceDN w:val="0"/>
        <w:adjustRightInd w:val="0"/>
        <w:spacing w:line="360" w:lineRule="auto"/>
        <w:ind w:right="-9" w:firstLine="525" w:firstLineChars="250"/>
        <w:jc w:val="left"/>
        <w:rPr>
          <w:rFonts w:ascii="宋体" w:hAnsi="宋体" w:cs="MingLiU"/>
          <w:snapToGrid w:val="0"/>
          <w:kern w:val="0"/>
        </w:rPr>
      </w:pPr>
      <w:r>
        <w:rPr>
          <w:rFonts w:ascii="宋体" w:hAnsi="宋体"/>
          <w:snapToGrid w:val="0"/>
          <w:kern w:val="0"/>
        </w:rPr>
        <w:t>5</w:t>
      </w:r>
      <w:r>
        <w:rPr>
          <w:rFonts w:hint="eastAsia" w:ascii="宋体" w:hAnsi="宋体" w:cs="MingLiU"/>
          <w:snapToGrid w:val="0"/>
          <w:kern w:val="0"/>
        </w:rPr>
        <w:t>．我方在此声明，所递交的投标文件及有关资料内容完整、真实和准确，且不存在第二章“投标人须知”第</w:t>
      </w:r>
      <w:r>
        <w:rPr>
          <w:rFonts w:ascii="宋体" w:hAnsi="宋体"/>
          <w:snapToGrid w:val="0"/>
          <w:kern w:val="0"/>
        </w:rPr>
        <w:t xml:space="preserve"> 1.4.3 </w:t>
      </w:r>
      <w:r>
        <w:rPr>
          <w:rFonts w:hint="eastAsia" w:ascii="宋体" w:hAnsi="宋体" w:cs="MingLiU"/>
          <w:snapToGrid w:val="0"/>
          <w:kern w:val="0"/>
        </w:rPr>
        <w:t>项规定的任何一种情形，同时我方承诺接受比选文件及附件、答疑及补遗通知中所有内容。</w:t>
      </w:r>
    </w:p>
    <w:p>
      <w:pPr>
        <w:tabs>
          <w:tab w:val="left" w:pos="4940"/>
        </w:tabs>
        <w:autoSpaceDE w:val="0"/>
        <w:autoSpaceDN w:val="0"/>
        <w:adjustRightInd w:val="0"/>
        <w:spacing w:line="360" w:lineRule="auto"/>
        <w:ind w:right="-20" w:firstLine="525" w:firstLineChars="250"/>
        <w:jc w:val="left"/>
        <w:rPr>
          <w:rFonts w:ascii="宋体" w:hAnsi="宋体" w:cs="MingLiU"/>
          <w:snapToGrid w:val="0"/>
          <w:kern w:val="0"/>
        </w:rPr>
      </w:pPr>
      <w:r>
        <w:rPr>
          <w:rFonts w:ascii="宋体" w:hAnsi="宋体"/>
          <w:snapToGrid w:val="0"/>
          <w:kern w:val="0"/>
        </w:rPr>
        <w:t>6</w:t>
      </w:r>
      <w:r>
        <w:rPr>
          <w:rFonts w:hint="eastAsia" w:ascii="宋体" w:hAnsi="宋体" w:cs="MingLiU"/>
          <w:snapToGrid w:val="0"/>
          <w:kern w:val="0"/>
        </w:rPr>
        <w:t>．</w:t>
      </w:r>
      <w:r>
        <w:rPr>
          <w:rFonts w:ascii="宋体" w:hAnsi="宋体" w:cs="MingLiU"/>
          <w:snapToGrid w:val="0"/>
          <w:w w:val="200"/>
          <w:kern w:val="0"/>
          <w:u w:val="single"/>
        </w:rPr>
        <w:t xml:space="preserve"> </w:t>
      </w:r>
      <w:r>
        <w:rPr>
          <w:rFonts w:ascii="宋体" w:hAnsi="宋体"/>
          <w:snapToGrid w:val="0"/>
          <w:kern w:val="0"/>
          <w:u w:val="single"/>
        </w:rPr>
        <w:tab/>
      </w:r>
      <w:r>
        <w:rPr>
          <w:rFonts w:hint="eastAsia" w:ascii="宋体" w:hAnsi="宋体" w:cs="MingLiU"/>
          <w:snapToGrid w:val="0"/>
          <w:kern w:val="0"/>
        </w:rPr>
        <w:t>（其他补充说明）。</w:t>
      </w:r>
    </w:p>
    <w:p>
      <w:pPr>
        <w:tabs>
          <w:tab w:val="left" w:pos="7140"/>
          <w:tab w:val="left" w:pos="7560"/>
          <w:tab w:val="left" w:pos="8300"/>
        </w:tabs>
        <w:autoSpaceDE w:val="0"/>
        <w:autoSpaceDN w:val="0"/>
        <w:adjustRightInd w:val="0"/>
        <w:spacing w:line="360" w:lineRule="auto"/>
        <w:ind w:right="210"/>
        <w:rPr>
          <w:rFonts w:ascii="宋体" w:hAnsi="宋体" w:cs="MingLiU"/>
          <w:snapToGrid w:val="0"/>
          <w:kern w:val="0"/>
        </w:rPr>
      </w:pPr>
    </w:p>
    <w:p>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kern w:val="0"/>
        </w:rPr>
      </w:pPr>
      <w:r>
        <w:rPr>
          <w:rFonts w:hint="eastAsia" w:ascii="宋体" w:hAnsi="宋体" w:cs="MingLiU"/>
          <w:snapToGrid w:val="0"/>
          <w:kern w:val="0"/>
        </w:rPr>
        <w:t>投</w:t>
      </w:r>
      <w:r>
        <w:rPr>
          <w:rFonts w:ascii="宋体" w:hAnsi="宋体"/>
          <w:snapToGrid w:val="0"/>
          <w:kern w:val="0"/>
        </w:rPr>
        <w:t xml:space="preserve">  </w:t>
      </w:r>
      <w:r>
        <w:rPr>
          <w:rFonts w:hint="eastAsia" w:ascii="宋体" w:hAnsi="宋体" w:cs="MingLiU"/>
          <w:snapToGrid w:val="0"/>
          <w:kern w:val="0"/>
        </w:rPr>
        <w:t>标</w:t>
      </w:r>
      <w:r>
        <w:rPr>
          <w:rFonts w:ascii="宋体" w:hAnsi="宋体"/>
          <w:snapToGrid w:val="0"/>
          <w:kern w:val="0"/>
        </w:rPr>
        <w:t xml:space="preserve">  </w:t>
      </w:r>
      <w:r>
        <w:rPr>
          <w:rFonts w:hint="eastAsia" w:ascii="宋体" w:hAnsi="宋体" w:cs="MingLiU"/>
          <w:snapToGrid w:val="0"/>
          <w:kern w:val="0"/>
        </w:rPr>
        <w:t>人：</w:t>
      </w:r>
      <w:r>
        <w:rPr>
          <w:rFonts w:hint="eastAsia" w:ascii="宋体" w:hAnsi="宋体" w:cs="MingLiU"/>
          <w:snapToGrid w:val="0"/>
          <w:kern w:val="0"/>
          <w:u w:val="single"/>
        </w:rPr>
        <w:t xml:space="preserve">                                        </w:t>
      </w:r>
      <w:r>
        <w:rPr>
          <w:rFonts w:hint="eastAsia" w:ascii="宋体" w:hAnsi="宋体" w:cs="MingLiU"/>
          <w:snapToGrid w:val="0"/>
          <w:kern w:val="0"/>
        </w:rPr>
        <w:t>（盖投标人公章）</w:t>
      </w:r>
      <w:r>
        <w:rPr>
          <w:rFonts w:ascii="宋体" w:hAnsi="宋体"/>
          <w:snapToGrid w:val="0"/>
          <w:kern w:val="0"/>
        </w:rPr>
        <w:t xml:space="preserve"> </w:t>
      </w:r>
    </w:p>
    <w:p>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kern w:val="0"/>
        </w:rPr>
      </w:pPr>
      <w:r>
        <w:rPr>
          <w:rFonts w:hint="eastAsia" w:ascii="宋体" w:hAnsi="宋体" w:cs="MingLiU"/>
          <w:snapToGrid w:val="0"/>
          <w:kern w:val="0"/>
        </w:rPr>
        <w:t>法定代表人或其委托代理人：</w:t>
      </w:r>
      <w:r>
        <w:rPr>
          <w:rFonts w:hint="eastAsia" w:ascii="宋体" w:hAnsi="宋体" w:cs="MingLiU"/>
          <w:snapToGrid w:val="0"/>
          <w:kern w:val="0"/>
          <w:u w:val="single"/>
        </w:rPr>
        <w:t xml:space="preserve">   </w:t>
      </w:r>
      <w:r>
        <w:rPr>
          <w:rFonts w:ascii="宋体" w:hAnsi="宋体"/>
          <w:snapToGrid w:val="0"/>
          <w:kern w:val="0"/>
          <w:u w:val="single"/>
        </w:rPr>
        <w:tab/>
      </w:r>
      <w:r>
        <w:rPr>
          <w:rFonts w:hint="eastAsia" w:ascii="宋体" w:hAnsi="宋体" w:cs="MingLiU"/>
          <w:snapToGrid w:val="0"/>
          <w:kern w:val="0"/>
        </w:rPr>
        <w:t>（签字）</w:t>
      </w:r>
      <w:r>
        <w:rPr>
          <w:rFonts w:ascii="宋体" w:hAnsi="宋体"/>
          <w:snapToGrid w:val="0"/>
          <w:kern w:val="0"/>
        </w:rPr>
        <w:t xml:space="preserve"> </w:t>
      </w:r>
    </w:p>
    <w:p>
      <w:pPr>
        <w:tabs>
          <w:tab w:val="left" w:pos="7035"/>
          <w:tab w:val="left" w:pos="7560"/>
          <w:tab w:val="left" w:pos="8300"/>
        </w:tabs>
        <w:autoSpaceDE w:val="0"/>
        <w:autoSpaceDN w:val="0"/>
        <w:adjustRightInd w:val="0"/>
        <w:spacing w:line="360" w:lineRule="auto"/>
        <w:ind w:right="210" w:firstLine="1984" w:firstLineChars="945"/>
        <w:rPr>
          <w:rFonts w:ascii="宋体" w:hAnsi="宋体" w:cs="MingLiU"/>
          <w:snapToGrid w:val="0"/>
          <w:kern w:val="0"/>
        </w:rPr>
      </w:pPr>
      <w:r>
        <w:rPr>
          <w:rFonts w:hint="eastAsia" w:ascii="宋体" w:hAnsi="宋体" w:cs="MingLiU"/>
          <w:snapToGrid w:val="0"/>
          <w:kern w:val="0"/>
        </w:rPr>
        <w:t>地址：</w:t>
      </w:r>
      <w:r>
        <w:rPr>
          <w:rFonts w:ascii="宋体" w:hAnsi="宋体" w:cs="MingLiU"/>
          <w:snapToGrid w:val="0"/>
          <w:w w:val="200"/>
          <w:kern w:val="0"/>
          <w:u w:val="single"/>
        </w:rPr>
        <w:t xml:space="preserve"> </w:t>
      </w:r>
      <w:r>
        <w:rPr>
          <w:rFonts w:ascii="宋体" w:hAnsi="宋体"/>
          <w:snapToGrid w:val="0"/>
          <w:kern w:val="0"/>
          <w:u w:val="single"/>
        </w:rPr>
        <w:tab/>
      </w:r>
    </w:p>
    <w:p>
      <w:pPr>
        <w:tabs>
          <w:tab w:val="left" w:pos="8300"/>
        </w:tabs>
        <w:autoSpaceDE w:val="0"/>
        <w:autoSpaceDN w:val="0"/>
        <w:adjustRightInd w:val="0"/>
        <w:spacing w:before="1" w:line="360" w:lineRule="auto"/>
        <w:ind w:left="1985" w:right="-20"/>
        <w:jc w:val="left"/>
        <w:rPr>
          <w:rFonts w:ascii="宋体" w:hAnsi="宋体" w:cs="MingLiU"/>
          <w:snapToGrid w:val="0"/>
          <w:kern w:val="0"/>
        </w:rPr>
      </w:pPr>
      <w:r>
        <w:rPr>
          <w:rFonts w:hint="eastAsia" w:ascii="宋体" w:hAnsi="宋体" w:cs="MingLiU"/>
          <w:snapToGrid w:val="0"/>
          <w:kern w:val="0"/>
        </w:rPr>
        <w:t>网址：</w:t>
      </w:r>
      <w:r>
        <w:rPr>
          <w:rFonts w:ascii="宋体" w:hAnsi="宋体" w:cs="MingLiU"/>
          <w:snapToGrid w:val="0"/>
          <w:w w:val="200"/>
          <w:kern w:val="0"/>
          <w:u w:val="single"/>
        </w:rPr>
        <w:t xml:space="preserve"> </w:t>
      </w:r>
      <w:r>
        <w:rPr>
          <w:rFonts w:hint="eastAsia" w:ascii="宋体" w:hAnsi="宋体"/>
          <w:snapToGrid w:val="0"/>
          <w:kern w:val="0"/>
          <w:u w:val="single"/>
        </w:rPr>
        <w:t xml:space="preserve">                                                            </w:t>
      </w:r>
    </w:p>
    <w:p>
      <w:pPr>
        <w:tabs>
          <w:tab w:val="left" w:pos="8300"/>
        </w:tabs>
        <w:autoSpaceDE w:val="0"/>
        <w:autoSpaceDN w:val="0"/>
        <w:adjustRightInd w:val="0"/>
        <w:spacing w:line="360" w:lineRule="auto"/>
        <w:ind w:left="1985" w:right="-20"/>
        <w:jc w:val="left"/>
        <w:rPr>
          <w:rFonts w:ascii="宋体" w:hAnsi="宋体" w:cs="MingLiU"/>
          <w:snapToGrid w:val="0"/>
          <w:kern w:val="0"/>
        </w:rPr>
      </w:pPr>
      <w:r>
        <w:rPr>
          <w:rFonts w:hint="eastAsia" w:ascii="宋体" w:hAnsi="宋体" w:cs="MingLiU"/>
          <w:snapToGrid w:val="0"/>
          <w:kern w:val="0"/>
        </w:rPr>
        <w:t>电话：</w:t>
      </w:r>
      <w:r>
        <w:rPr>
          <w:rFonts w:ascii="宋体" w:hAnsi="宋体" w:cs="MingLiU"/>
          <w:snapToGrid w:val="0"/>
          <w:w w:val="200"/>
          <w:kern w:val="0"/>
          <w:u w:val="single"/>
        </w:rPr>
        <w:t xml:space="preserve"> </w:t>
      </w:r>
      <w:r>
        <w:rPr>
          <w:rFonts w:hint="eastAsia" w:ascii="宋体" w:hAnsi="宋体"/>
          <w:snapToGrid w:val="0"/>
          <w:kern w:val="0"/>
          <w:u w:val="single"/>
        </w:rPr>
        <w:t xml:space="preserve">                                                            </w:t>
      </w:r>
    </w:p>
    <w:p>
      <w:pPr>
        <w:tabs>
          <w:tab w:val="left" w:pos="8300"/>
        </w:tabs>
        <w:autoSpaceDE w:val="0"/>
        <w:autoSpaceDN w:val="0"/>
        <w:adjustRightInd w:val="0"/>
        <w:spacing w:line="360" w:lineRule="auto"/>
        <w:ind w:left="1985" w:right="-20"/>
        <w:jc w:val="left"/>
        <w:rPr>
          <w:rFonts w:ascii="宋体" w:hAnsi="宋体" w:cs="MingLiU"/>
          <w:snapToGrid w:val="0"/>
          <w:kern w:val="0"/>
        </w:rPr>
      </w:pPr>
      <w:r>
        <w:rPr>
          <w:rFonts w:hint="eastAsia" w:ascii="宋体" w:hAnsi="宋体" w:cs="MingLiU"/>
          <w:snapToGrid w:val="0"/>
          <w:kern w:val="0"/>
        </w:rPr>
        <w:t>传真：</w:t>
      </w:r>
      <w:r>
        <w:rPr>
          <w:rFonts w:ascii="宋体" w:hAnsi="宋体" w:cs="MingLiU"/>
          <w:snapToGrid w:val="0"/>
          <w:w w:val="200"/>
          <w:kern w:val="0"/>
          <w:u w:val="single"/>
        </w:rPr>
        <w:t xml:space="preserve"> </w:t>
      </w:r>
      <w:r>
        <w:rPr>
          <w:rFonts w:hint="eastAsia" w:ascii="宋体" w:hAnsi="宋体"/>
          <w:snapToGrid w:val="0"/>
          <w:kern w:val="0"/>
          <w:u w:val="single"/>
        </w:rPr>
        <w:t xml:space="preserve">                                                            </w:t>
      </w:r>
    </w:p>
    <w:p>
      <w:pPr>
        <w:tabs>
          <w:tab w:val="left" w:pos="8300"/>
        </w:tabs>
        <w:autoSpaceDE w:val="0"/>
        <w:autoSpaceDN w:val="0"/>
        <w:adjustRightInd w:val="0"/>
        <w:spacing w:line="360" w:lineRule="auto"/>
        <w:ind w:left="1985" w:right="-20"/>
        <w:jc w:val="left"/>
        <w:rPr>
          <w:rFonts w:ascii="宋体" w:hAnsi="宋体" w:cs="MingLiU"/>
          <w:snapToGrid w:val="0"/>
          <w:kern w:val="0"/>
          <w:sz w:val="20"/>
        </w:rPr>
      </w:pPr>
      <w:r>
        <w:rPr>
          <w:rFonts w:hint="eastAsia" w:ascii="宋体" w:hAnsi="宋体" w:cs="MingLiU"/>
          <w:snapToGrid w:val="0"/>
          <w:kern w:val="0"/>
        </w:rPr>
        <w:t>邮政编码：</w:t>
      </w:r>
      <w:r>
        <w:rPr>
          <w:rFonts w:ascii="宋体" w:hAnsi="宋体" w:cs="MingLiU"/>
          <w:snapToGrid w:val="0"/>
          <w:w w:val="200"/>
          <w:kern w:val="0"/>
          <w:u w:val="single"/>
        </w:rPr>
        <w:t xml:space="preserve"> </w:t>
      </w:r>
      <w:r>
        <w:rPr>
          <w:rFonts w:hint="eastAsia" w:ascii="宋体" w:hAnsi="宋体" w:cs="MingLiU"/>
          <w:snapToGrid w:val="0"/>
          <w:w w:val="200"/>
          <w:kern w:val="0"/>
          <w:u w:val="single"/>
        </w:rPr>
        <w:t xml:space="preserve">                           </w:t>
      </w:r>
    </w:p>
    <w:p>
      <w:pPr>
        <w:tabs>
          <w:tab w:val="left" w:pos="6000"/>
          <w:tab w:val="left" w:pos="7040"/>
          <w:tab w:val="left" w:pos="8100"/>
        </w:tabs>
        <w:autoSpaceDE w:val="0"/>
        <w:autoSpaceDN w:val="0"/>
        <w:adjustRightInd w:val="0"/>
        <w:spacing w:line="360" w:lineRule="auto"/>
        <w:ind w:right="-20" w:firstLine="4924" w:firstLineChars="2345"/>
        <w:jc w:val="left"/>
        <w:rPr>
          <w:rFonts w:ascii="宋体" w:hAnsi="宋体" w:cs="MingLiU"/>
          <w:snapToGrid w:val="0"/>
          <w:kern w:val="0"/>
        </w:rPr>
      </w:pPr>
      <w:r>
        <w:rPr>
          <w:rFonts w:hint="eastAsia" w:ascii="宋体" w:hAnsi="宋体" w:cs="MingLiU"/>
          <w:snapToGrid w:val="0"/>
          <w:kern w:val="0"/>
          <w:u w:val="single"/>
        </w:rPr>
        <w:t xml:space="preserve">        </w:t>
      </w:r>
      <w:r>
        <w:rPr>
          <w:rFonts w:hint="eastAsia" w:ascii="宋体" w:hAnsi="宋体" w:cs="MingLiU"/>
          <w:snapToGrid w:val="0"/>
          <w:kern w:val="0"/>
        </w:rPr>
        <w:t>年</w:t>
      </w:r>
      <w:r>
        <w:rPr>
          <w:rFonts w:ascii="宋体" w:hAnsi="宋体" w:cs="MingLiU"/>
          <w:snapToGrid w:val="0"/>
          <w:w w:val="200"/>
          <w:kern w:val="0"/>
          <w:u w:val="single"/>
        </w:rPr>
        <w:t xml:space="preserve"> </w:t>
      </w:r>
      <w:r>
        <w:rPr>
          <w:rFonts w:hint="eastAsia" w:ascii="宋体" w:hAnsi="宋体" w:cs="MingLiU"/>
          <w:snapToGrid w:val="0"/>
          <w:w w:val="200"/>
          <w:kern w:val="0"/>
          <w:u w:val="single"/>
        </w:rPr>
        <w:t xml:space="preserve"> </w:t>
      </w:r>
      <w:r>
        <w:rPr>
          <w:rFonts w:hint="eastAsia" w:ascii="宋体" w:hAnsi="宋体" w:cs="MingLiU"/>
          <w:snapToGrid w:val="0"/>
          <w:kern w:val="0"/>
        </w:rPr>
        <w:t>月</w:t>
      </w:r>
      <w:r>
        <w:rPr>
          <w:rFonts w:ascii="宋体" w:hAnsi="宋体" w:cs="MingLiU"/>
          <w:snapToGrid w:val="0"/>
          <w:w w:val="200"/>
          <w:kern w:val="0"/>
          <w:u w:val="single"/>
        </w:rPr>
        <w:t xml:space="preserve"> </w:t>
      </w:r>
      <w:r>
        <w:rPr>
          <w:rFonts w:hint="eastAsia" w:ascii="宋体" w:hAnsi="宋体" w:cs="MingLiU"/>
          <w:snapToGrid w:val="0"/>
          <w:w w:val="200"/>
          <w:kern w:val="0"/>
          <w:u w:val="single"/>
        </w:rPr>
        <w:t xml:space="preserve"> </w:t>
      </w:r>
      <w:r>
        <w:rPr>
          <w:rFonts w:hint="eastAsia" w:ascii="宋体" w:hAnsi="宋体" w:cs="MingLiU"/>
          <w:snapToGrid w:val="0"/>
          <w:kern w:val="0"/>
        </w:rPr>
        <w:t>日</w:t>
      </w:r>
      <w:bookmarkStart w:id="1356" w:name="_Toc224103496"/>
    </w:p>
    <w:p>
      <w:pPr>
        <w:tabs>
          <w:tab w:val="left" w:pos="6000"/>
          <w:tab w:val="left" w:pos="7040"/>
          <w:tab w:val="left" w:pos="8100"/>
        </w:tabs>
        <w:autoSpaceDE w:val="0"/>
        <w:autoSpaceDN w:val="0"/>
        <w:adjustRightInd w:val="0"/>
        <w:spacing w:line="360" w:lineRule="auto"/>
        <w:ind w:right="-20" w:firstLine="4924" w:firstLineChars="2345"/>
        <w:jc w:val="left"/>
        <w:rPr>
          <w:rFonts w:ascii="宋体" w:hAnsi="宋体" w:cs="MingLiU"/>
          <w:snapToGrid w:val="0"/>
          <w:kern w:val="0"/>
        </w:rPr>
      </w:pPr>
    </w:p>
    <w:p>
      <w:pPr>
        <w:tabs>
          <w:tab w:val="left" w:pos="6000"/>
          <w:tab w:val="left" w:pos="7040"/>
          <w:tab w:val="left" w:pos="8100"/>
        </w:tabs>
        <w:autoSpaceDE w:val="0"/>
        <w:autoSpaceDN w:val="0"/>
        <w:adjustRightInd w:val="0"/>
        <w:spacing w:line="360" w:lineRule="auto"/>
        <w:ind w:right="-20" w:firstLine="4924" w:firstLineChars="2345"/>
        <w:jc w:val="left"/>
        <w:rPr>
          <w:rFonts w:ascii="宋体" w:hAnsi="宋体" w:cs="MingLiU"/>
          <w:snapToGrid w:val="0"/>
          <w:kern w:val="0"/>
        </w:rPr>
      </w:pPr>
    </w:p>
    <w:p>
      <w:pPr>
        <w:tabs>
          <w:tab w:val="left" w:pos="6000"/>
          <w:tab w:val="left" w:pos="7040"/>
          <w:tab w:val="left" w:pos="8100"/>
        </w:tabs>
        <w:autoSpaceDE w:val="0"/>
        <w:autoSpaceDN w:val="0"/>
        <w:adjustRightInd w:val="0"/>
        <w:spacing w:line="360" w:lineRule="auto"/>
        <w:ind w:right="-20" w:firstLine="4924" w:firstLineChars="2345"/>
        <w:jc w:val="left"/>
        <w:rPr>
          <w:rFonts w:ascii="宋体" w:hAnsi="宋体" w:cs="MingLiU"/>
          <w:snapToGrid w:val="0"/>
          <w:kern w:val="0"/>
        </w:rPr>
      </w:pPr>
    </w:p>
    <w:p>
      <w:pPr>
        <w:tabs>
          <w:tab w:val="left" w:pos="6000"/>
          <w:tab w:val="left" w:pos="7040"/>
          <w:tab w:val="left" w:pos="8100"/>
        </w:tabs>
        <w:autoSpaceDE w:val="0"/>
        <w:autoSpaceDN w:val="0"/>
        <w:adjustRightInd w:val="0"/>
        <w:spacing w:line="360" w:lineRule="auto"/>
        <w:ind w:right="-20" w:firstLine="4924" w:firstLineChars="2345"/>
        <w:jc w:val="left"/>
        <w:rPr>
          <w:rFonts w:ascii="宋体" w:hAnsi="宋体" w:cs="MingLiU"/>
          <w:snapToGrid w:val="0"/>
          <w:kern w:val="0"/>
        </w:rPr>
      </w:pPr>
    </w:p>
    <w:p>
      <w:pPr>
        <w:tabs>
          <w:tab w:val="left" w:pos="6000"/>
          <w:tab w:val="left" w:pos="7040"/>
          <w:tab w:val="left" w:pos="8100"/>
        </w:tabs>
        <w:autoSpaceDE w:val="0"/>
        <w:autoSpaceDN w:val="0"/>
        <w:adjustRightInd w:val="0"/>
        <w:spacing w:line="360" w:lineRule="auto"/>
        <w:ind w:right="-20" w:firstLine="4924" w:firstLineChars="2345"/>
        <w:jc w:val="left"/>
        <w:rPr>
          <w:rFonts w:ascii="宋体" w:hAnsi="宋体" w:cs="MingLiU"/>
          <w:snapToGrid w:val="0"/>
          <w:kern w:val="0"/>
        </w:rPr>
      </w:pPr>
    </w:p>
    <w:p>
      <w:pPr>
        <w:tabs>
          <w:tab w:val="left" w:pos="6000"/>
          <w:tab w:val="left" w:pos="7040"/>
          <w:tab w:val="left" w:pos="8100"/>
        </w:tabs>
        <w:autoSpaceDE w:val="0"/>
        <w:autoSpaceDN w:val="0"/>
        <w:adjustRightInd w:val="0"/>
        <w:spacing w:line="360" w:lineRule="auto"/>
        <w:ind w:right="-20" w:firstLine="4924" w:firstLineChars="2345"/>
        <w:jc w:val="left"/>
        <w:rPr>
          <w:rFonts w:ascii="宋体" w:hAnsi="宋体" w:cs="MingLiU"/>
          <w:snapToGrid w:val="0"/>
          <w:kern w:val="0"/>
        </w:rPr>
      </w:pPr>
    </w:p>
    <w:p>
      <w:pPr>
        <w:tabs>
          <w:tab w:val="left" w:pos="6000"/>
          <w:tab w:val="left" w:pos="7040"/>
          <w:tab w:val="left" w:pos="8100"/>
        </w:tabs>
        <w:autoSpaceDE w:val="0"/>
        <w:autoSpaceDN w:val="0"/>
        <w:adjustRightInd w:val="0"/>
        <w:spacing w:line="360" w:lineRule="auto"/>
        <w:ind w:right="-20" w:firstLine="4924" w:firstLineChars="2345"/>
        <w:jc w:val="left"/>
        <w:rPr>
          <w:rFonts w:ascii="宋体" w:hAnsi="宋体" w:cs="MingLiU"/>
          <w:snapToGrid w:val="0"/>
          <w:kern w:val="0"/>
        </w:rPr>
      </w:pPr>
    </w:p>
    <w:p>
      <w:pPr>
        <w:tabs>
          <w:tab w:val="left" w:pos="6000"/>
          <w:tab w:val="left" w:pos="7040"/>
          <w:tab w:val="left" w:pos="8100"/>
        </w:tabs>
        <w:autoSpaceDE w:val="0"/>
        <w:autoSpaceDN w:val="0"/>
        <w:adjustRightInd w:val="0"/>
        <w:spacing w:line="360" w:lineRule="auto"/>
        <w:ind w:right="-20" w:firstLine="4924" w:firstLineChars="2345"/>
        <w:jc w:val="left"/>
        <w:rPr>
          <w:rFonts w:ascii="宋体" w:hAnsi="宋体" w:cs="MingLiU"/>
          <w:snapToGrid w:val="0"/>
          <w:kern w:val="0"/>
        </w:rPr>
      </w:pPr>
    </w:p>
    <w:p>
      <w:pPr>
        <w:pStyle w:val="6"/>
        <w:numPr>
          <w:ilvl w:val="0"/>
          <w:numId w:val="7"/>
        </w:numPr>
        <w:spacing w:before="0" w:after="120" w:line="500" w:lineRule="exact"/>
        <w:jc w:val="center"/>
        <w:rPr>
          <w:rFonts w:ascii="宋体" w:hAnsi="宋体"/>
          <w:sz w:val="28"/>
        </w:rPr>
      </w:pPr>
      <w:r>
        <w:rPr>
          <w:rFonts w:hint="eastAsia" w:ascii="宋体" w:hAnsi="宋体"/>
          <w:sz w:val="28"/>
        </w:rPr>
        <w:t>投标函附录</w:t>
      </w:r>
    </w:p>
    <w:p/>
    <w:p/>
    <w:p/>
    <w:tbl>
      <w:tblPr>
        <w:tblStyle w:val="54"/>
        <w:tblW w:w="8568" w:type="dxa"/>
        <w:tblInd w:w="97" w:type="dxa"/>
        <w:tblLayout w:type="fixed"/>
        <w:tblCellMar>
          <w:top w:w="0" w:type="dxa"/>
          <w:left w:w="0" w:type="dxa"/>
          <w:bottom w:w="0" w:type="dxa"/>
          <w:right w:w="0" w:type="dxa"/>
        </w:tblCellMar>
      </w:tblPr>
      <w:tblGrid>
        <w:gridCol w:w="651"/>
        <w:gridCol w:w="2336"/>
        <w:gridCol w:w="2136"/>
        <w:gridCol w:w="2728"/>
        <w:gridCol w:w="717"/>
      </w:tblGrid>
      <w:tr>
        <w:tblPrEx>
          <w:tblCellMar>
            <w:top w:w="0" w:type="dxa"/>
            <w:left w:w="0" w:type="dxa"/>
            <w:bottom w:w="0" w:type="dxa"/>
            <w:right w:w="0" w:type="dxa"/>
          </w:tblCellMar>
        </w:tblPrEx>
        <w:trPr>
          <w:trHeight w:val="450" w:hRule="exact"/>
        </w:trPr>
        <w:tc>
          <w:tcPr>
            <w:tcW w:w="651" w:type="dxa"/>
            <w:tcBorders>
              <w:top w:val="single" w:color="000000" w:sz="4" w:space="0"/>
              <w:left w:val="single" w:color="000000" w:sz="4" w:space="0"/>
              <w:bottom w:val="single" w:color="000000" w:sz="6" w:space="0"/>
              <w:right w:val="single" w:color="000000" w:sz="6" w:space="0"/>
            </w:tcBorders>
            <w:vAlign w:val="center"/>
          </w:tcPr>
          <w:p>
            <w:pPr>
              <w:autoSpaceDE w:val="0"/>
              <w:autoSpaceDN w:val="0"/>
              <w:adjustRightInd w:val="0"/>
              <w:snapToGrid w:val="0"/>
              <w:spacing w:line="240" w:lineRule="atLeast"/>
              <w:jc w:val="center"/>
              <w:rPr>
                <w:rFonts w:ascii="宋体" w:hAnsi="宋体"/>
                <w:snapToGrid w:val="0"/>
                <w:kern w:val="0"/>
                <w:sz w:val="24"/>
              </w:rPr>
            </w:pPr>
            <w:r>
              <w:rPr>
                <w:rFonts w:hint="eastAsia" w:ascii="宋体" w:hAnsi="宋体" w:cs="MingLiU"/>
                <w:snapToGrid w:val="0"/>
                <w:kern w:val="0"/>
                <w:szCs w:val="21"/>
              </w:rPr>
              <w:t>序号</w:t>
            </w:r>
          </w:p>
        </w:tc>
        <w:tc>
          <w:tcPr>
            <w:tcW w:w="2336" w:type="dxa"/>
            <w:tcBorders>
              <w:top w:val="single" w:color="000000" w:sz="4" w:space="0"/>
              <w:left w:val="single" w:color="000000" w:sz="6" w:space="0"/>
              <w:bottom w:val="single" w:color="000000" w:sz="6" w:space="0"/>
              <w:right w:val="single" w:color="000000" w:sz="6" w:space="0"/>
            </w:tcBorders>
            <w:vAlign w:val="center"/>
          </w:tcPr>
          <w:p>
            <w:pPr>
              <w:autoSpaceDE w:val="0"/>
              <w:autoSpaceDN w:val="0"/>
              <w:adjustRightInd w:val="0"/>
              <w:snapToGrid w:val="0"/>
              <w:spacing w:line="240" w:lineRule="atLeast"/>
              <w:jc w:val="center"/>
              <w:rPr>
                <w:rFonts w:ascii="宋体" w:hAnsi="宋体"/>
                <w:snapToGrid w:val="0"/>
                <w:kern w:val="0"/>
                <w:sz w:val="24"/>
              </w:rPr>
            </w:pPr>
            <w:r>
              <w:rPr>
                <w:rFonts w:hint="eastAsia" w:ascii="宋体" w:hAnsi="宋体" w:cs="MingLiU"/>
                <w:snapToGrid w:val="0"/>
                <w:kern w:val="0"/>
                <w:szCs w:val="21"/>
              </w:rPr>
              <w:t>条款名称</w:t>
            </w:r>
          </w:p>
        </w:tc>
        <w:tc>
          <w:tcPr>
            <w:tcW w:w="2136" w:type="dxa"/>
            <w:tcBorders>
              <w:top w:val="single" w:color="000000" w:sz="4" w:space="0"/>
              <w:left w:val="single" w:color="000000" w:sz="6" w:space="0"/>
              <w:bottom w:val="single" w:color="000000" w:sz="6" w:space="0"/>
              <w:right w:val="single" w:color="000000" w:sz="6" w:space="0"/>
            </w:tcBorders>
            <w:vAlign w:val="center"/>
          </w:tcPr>
          <w:p>
            <w:pPr>
              <w:autoSpaceDE w:val="0"/>
              <w:autoSpaceDN w:val="0"/>
              <w:adjustRightInd w:val="0"/>
              <w:snapToGrid w:val="0"/>
              <w:spacing w:line="240" w:lineRule="atLeast"/>
              <w:jc w:val="center"/>
              <w:rPr>
                <w:rFonts w:ascii="宋体" w:hAnsi="宋体"/>
                <w:snapToGrid w:val="0"/>
                <w:kern w:val="0"/>
                <w:sz w:val="24"/>
              </w:rPr>
            </w:pPr>
            <w:r>
              <w:rPr>
                <w:rFonts w:hint="eastAsia" w:ascii="宋体" w:hAnsi="宋体" w:cs="MingLiU"/>
                <w:snapToGrid w:val="0"/>
                <w:kern w:val="0"/>
                <w:szCs w:val="21"/>
              </w:rPr>
              <w:t>合同条款号</w:t>
            </w:r>
          </w:p>
        </w:tc>
        <w:tc>
          <w:tcPr>
            <w:tcW w:w="2728" w:type="dxa"/>
            <w:tcBorders>
              <w:top w:val="single" w:color="000000" w:sz="4" w:space="0"/>
              <w:left w:val="single" w:color="000000" w:sz="6" w:space="0"/>
              <w:bottom w:val="single" w:color="000000" w:sz="6" w:space="0"/>
              <w:right w:val="single" w:color="000000" w:sz="6" w:space="0"/>
            </w:tcBorders>
            <w:vAlign w:val="center"/>
          </w:tcPr>
          <w:p>
            <w:pPr>
              <w:autoSpaceDE w:val="0"/>
              <w:autoSpaceDN w:val="0"/>
              <w:adjustRightInd w:val="0"/>
              <w:snapToGrid w:val="0"/>
              <w:spacing w:line="240" w:lineRule="atLeast"/>
              <w:jc w:val="center"/>
              <w:rPr>
                <w:rFonts w:ascii="宋体" w:hAnsi="宋体"/>
                <w:snapToGrid w:val="0"/>
                <w:kern w:val="0"/>
                <w:sz w:val="24"/>
              </w:rPr>
            </w:pPr>
            <w:r>
              <w:rPr>
                <w:rFonts w:hint="eastAsia" w:ascii="宋体" w:hAnsi="宋体" w:cs="MingLiU"/>
                <w:snapToGrid w:val="0"/>
                <w:kern w:val="0"/>
                <w:szCs w:val="21"/>
              </w:rPr>
              <w:t>约定内容</w:t>
            </w:r>
          </w:p>
        </w:tc>
        <w:tc>
          <w:tcPr>
            <w:tcW w:w="717" w:type="dxa"/>
            <w:tcBorders>
              <w:top w:val="single" w:color="000000" w:sz="4" w:space="0"/>
              <w:left w:val="single" w:color="000000" w:sz="6" w:space="0"/>
              <w:bottom w:val="single" w:color="000000" w:sz="6" w:space="0"/>
              <w:right w:val="single" w:color="000000" w:sz="4" w:space="0"/>
            </w:tcBorders>
            <w:vAlign w:val="center"/>
          </w:tcPr>
          <w:p>
            <w:pPr>
              <w:autoSpaceDE w:val="0"/>
              <w:autoSpaceDN w:val="0"/>
              <w:adjustRightInd w:val="0"/>
              <w:snapToGrid w:val="0"/>
              <w:spacing w:line="240" w:lineRule="atLeast"/>
              <w:jc w:val="center"/>
              <w:rPr>
                <w:rFonts w:ascii="宋体" w:hAnsi="宋体"/>
                <w:snapToGrid w:val="0"/>
                <w:kern w:val="0"/>
                <w:sz w:val="24"/>
              </w:rPr>
            </w:pPr>
            <w:r>
              <w:rPr>
                <w:rFonts w:hint="eastAsia" w:ascii="宋体" w:hAnsi="宋体" w:cs="MingLiU"/>
                <w:snapToGrid w:val="0"/>
                <w:kern w:val="0"/>
                <w:szCs w:val="21"/>
              </w:rPr>
              <w:t>备注</w:t>
            </w:r>
          </w:p>
        </w:tc>
      </w:tr>
      <w:tr>
        <w:tblPrEx>
          <w:tblCellMar>
            <w:top w:w="0" w:type="dxa"/>
            <w:left w:w="0" w:type="dxa"/>
            <w:bottom w:w="0" w:type="dxa"/>
            <w:right w:w="0" w:type="dxa"/>
          </w:tblCellMar>
        </w:tblPrEx>
        <w:trPr>
          <w:trHeight w:val="450" w:hRule="exact"/>
        </w:trPr>
        <w:tc>
          <w:tcPr>
            <w:tcW w:w="651" w:type="dxa"/>
            <w:tcBorders>
              <w:top w:val="single" w:color="000000" w:sz="6" w:space="0"/>
              <w:left w:val="single" w:color="000000" w:sz="4" w:space="0"/>
              <w:bottom w:val="single" w:color="000000" w:sz="6" w:space="0"/>
              <w:right w:val="single" w:color="000000" w:sz="6" w:space="0"/>
            </w:tcBorders>
            <w:vAlign w:val="center"/>
          </w:tcPr>
          <w:p>
            <w:pPr>
              <w:autoSpaceDE w:val="0"/>
              <w:autoSpaceDN w:val="0"/>
              <w:adjustRightInd w:val="0"/>
              <w:snapToGrid w:val="0"/>
              <w:spacing w:line="240" w:lineRule="atLeast"/>
              <w:jc w:val="center"/>
              <w:rPr>
                <w:rFonts w:ascii="宋体" w:hAnsi="宋体"/>
                <w:snapToGrid w:val="0"/>
                <w:kern w:val="0"/>
                <w:sz w:val="24"/>
              </w:rPr>
            </w:pPr>
          </w:p>
        </w:tc>
        <w:tc>
          <w:tcPr>
            <w:tcW w:w="2336"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spacing w:line="240" w:lineRule="atLeast"/>
              <w:jc w:val="center"/>
              <w:rPr>
                <w:rFonts w:ascii="宋体" w:hAnsi="宋体"/>
                <w:snapToGrid w:val="0"/>
                <w:kern w:val="0"/>
                <w:sz w:val="24"/>
              </w:rPr>
            </w:pPr>
            <w:r>
              <w:rPr>
                <w:rFonts w:hint="eastAsia" w:ascii="宋体" w:hAnsi="宋体" w:cs="MingLiU"/>
                <w:snapToGrid w:val="0"/>
                <w:kern w:val="0"/>
                <w:szCs w:val="21"/>
              </w:rPr>
              <w:t>工期</w:t>
            </w:r>
          </w:p>
        </w:tc>
        <w:tc>
          <w:tcPr>
            <w:tcW w:w="2136" w:type="dxa"/>
            <w:tcBorders>
              <w:top w:val="single" w:color="000000" w:sz="6" w:space="0"/>
              <w:left w:val="single" w:color="000000" w:sz="6" w:space="0"/>
              <w:bottom w:val="single" w:color="000000" w:sz="6" w:space="0"/>
              <w:right w:val="single" w:color="000000" w:sz="6" w:space="0"/>
            </w:tcBorders>
            <w:vAlign w:val="center"/>
          </w:tcPr>
          <w:p>
            <w:pPr>
              <w:tabs>
                <w:tab w:val="left" w:pos="2051"/>
              </w:tabs>
              <w:autoSpaceDE w:val="0"/>
              <w:autoSpaceDN w:val="0"/>
              <w:adjustRightInd w:val="0"/>
              <w:snapToGrid w:val="0"/>
              <w:spacing w:line="240" w:lineRule="atLeast"/>
              <w:jc w:val="center"/>
              <w:rPr>
                <w:rFonts w:ascii="宋体" w:hAnsi="宋体"/>
                <w:snapToGrid w:val="0"/>
                <w:kern w:val="0"/>
                <w:szCs w:val="21"/>
              </w:rPr>
            </w:pPr>
            <w:r>
              <w:rPr>
                <w:rFonts w:hint="eastAsia" w:ascii="宋体" w:hAnsi="宋体"/>
                <w:snapToGrid w:val="0"/>
                <w:kern w:val="0"/>
                <w:szCs w:val="21"/>
              </w:rPr>
              <w:t>1.1.4.3</w:t>
            </w:r>
          </w:p>
        </w:tc>
        <w:tc>
          <w:tcPr>
            <w:tcW w:w="2728" w:type="dxa"/>
            <w:tcBorders>
              <w:top w:val="single" w:color="000000" w:sz="6" w:space="0"/>
              <w:left w:val="single" w:color="000000" w:sz="6" w:space="0"/>
              <w:bottom w:val="single" w:color="000000" w:sz="6" w:space="0"/>
              <w:right w:val="single" w:color="000000" w:sz="6" w:space="0"/>
            </w:tcBorders>
            <w:vAlign w:val="center"/>
          </w:tcPr>
          <w:p>
            <w:pPr>
              <w:tabs>
                <w:tab w:val="left" w:pos="1560"/>
              </w:tabs>
              <w:autoSpaceDE w:val="0"/>
              <w:autoSpaceDN w:val="0"/>
              <w:adjustRightInd w:val="0"/>
              <w:snapToGrid w:val="0"/>
              <w:spacing w:line="240" w:lineRule="atLeast"/>
              <w:jc w:val="center"/>
              <w:rPr>
                <w:rFonts w:ascii="宋体" w:hAnsi="宋体"/>
                <w:snapToGrid w:val="0"/>
                <w:kern w:val="0"/>
                <w:sz w:val="24"/>
              </w:rPr>
            </w:pPr>
            <w:r>
              <w:rPr>
                <w:rFonts w:hint="eastAsia" w:ascii="宋体" w:hAnsi="宋体" w:cs="MingLiU"/>
                <w:snapToGrid w:val="0"/>
                <w:kern w:val="0"/>
                <w:szCs w:val="21"/>
              </w:rPr>
              <w:t>天数：</w:t>
            </w:r>
            <w:r>
              <w:rPr>
                <w:rFonts w:ascii="宋体" w:hAnsi="宋体"/>
                <w:snapToGrid w:val="0"/>
                <w:kern w:val="0"/>
                <w:szCs w:val="21"/>
                <w:u w:val="single"/>
              </w:rPr>
              <w:tab/>
            </w:r>
            <w:r>
              <w:rPr>
                <w:rFonts w:hint="eastAsia" w:ascii="宋体" w:hAnsi="宋体" w:cs="MingLiU"/>
                <w:snapToGrid w:val="0"/>
                <w:kern w:val="0"/>
                <w:szCs w:val="21"/>
              </w:rPr>
              <w:t>日历天</w:t>
            </w:r>
          </w:p>
        </w:tc>
        <w:tc>
          <w:tcPr>
            <w:tcW w:w="717" w:type="dxa"/>
            <w:tcBorders>
              <w:top w:val="single" w:color="000000" w:sz="6" w:space="0"/>
              <w:left w:val="single" w:color="000000" w:sz="6" w:space="0"/>
              <w:bottom w:val="single" w:color="000000" w:sz="6" w:space="0"/>
              <w:right w:val="single" w:color="000000" w:sz="4" w:space="0"/>
            </w:tcBorders>
            <w:vAlign w:val="center"/>
          </w:tcPr>
          <w:p>
            <w:pPr>
              <w:autoSpaceDE w:val="0"/>
              <w:autoSpaceDN w:val="0"/>
              <w:adjustRightInd w:val="0"/>
              <w:snapToGrid w:val="0"/>
              <w:spacing w:line="240" w:lineRule="atLeast"/>
              <w:jc w:val="center"/>
              <w:rPr>
                <w:rFonts w:ascii="宋体" w:hAnsi="宋体"/>
                <w:snapToGrid w:val="0"/>
                <w:kern w:val="0"/>
                <w:sz w:val="24"/>
              </w:rPr>
            </w:pPr>
          </w:p>
        </w:tc>
      </w:tr>
      <w:tr>
        <w:tblPrEx>
          <w:tblCellMar>
            <w:top w:w="0" w:type="dxa"/>
            <w:left w:w="0" w:type="dxa"/>
            <w:bottom w:w="0" w:type="dxa"/>
            <w:right w:w="0" w:type="dxa"/>
          </w:tblCellMar>
        </w:tblPrEx>
        <w:trPr>
          <w:trHeight w:val="450" w:hRule="exact"/>
        </w:trPr>
        <w:tc>
          <w:tcPr>
            <w:tcW w:w="651" w:type="dxa"/>
            <w:tcBorders>
              <w:top w:val="single" w:color="000000" w:sz="6" w:space="0"/>
              <w:left w:val="single" w:color="000000" w:sz="4" w:space="0"/>
              <w:bottom w:val="single" w:color="000000" w:sz="6" w:space="0"/>
              <w:right w:val="single" w:color="000000" w:sz="6" w:space="0"/>
            </w:tcBorders>
            <w:vAlign w:val="center"/>
          </w:tcPr>
          <w:p>
            <w:pPr>
              <w:tabs>
                <w:tab w:val="left" w:pos="2051"/>
              </w:tabs>
              <w:autoSpaceDE w:val="0"/>
              <w:autoSpaceDN w:val="0"/>
              <w:adjustRightInd w:val="0"/>
              <w:snapToGrid w:val="0"/>
              <w:spacing w:line="240" w:lineRule="atLeast"/>
              <w:jc w:val="center"/>
              <w:rPr>
                <w:rFonts w:ascii="宋体" w:hAnsi="宋体"/>
                <w:snapToGrid w:val="0"/>
                <w:kern w:val="0"/>
                <w:szCs w:val="21"/>
              </w:rPr>
            </w:pPr>
            <w:r>
              <w:rPr>
                <w:rFonts w:ascii="宋体" w:hAnsi="宋体"/>
                <w:snapToGrid w:val="0"/>
                <w:kern w:val="0"/>
                <w:szCs w:val="21"/>
              </w:rPr>
              <w:t>…</w:t>
            </w:r>
          </w:p>
        </w:tc>
        <w:tc>
          <w:tcPr>
            <w:tcW w:w="2336" w:type="dxa"/>
            <w:tcBorders>
              <w:top w:val="single" w:color="000000" w:sz="6" w:space="0"/>
              <w:left w:val="single" w:color="000000" w:sz="6" w:space="0"/>
              <w:bottom w:val="single" w:color="000000" w:sz="6" w:space="0"/>
              <w:right w:val="single" w:color="000000" w:sz="6" w:space="0"/>
            </w:tcBorders>
            <w:vAlign w:val="center"/>
          </w:tcPr>
          <w:p>
            <w:pPr>
              <w:tabs>
                <w:tab w:val="left" w:pos="2051"/>
              </w:tabs>
              <w:autoSpaceDE w:val="0"/>
              <w:autoSpaceDN w:val="0"/>
              <w:adjustRightInd w:val="0"/>
              <w:snapToGrid w:val="0"/>
              <w:spacing w:line="240" w:lineRule="atLeast"/>
              <w:jc w:val="center"/>
              <w:rPr>
                <w:rFonts w:ascii="宋体" w:hAnsi="宋体"/>
                <w:snapToGrid w:val="0"/>
                <w:kern w:val="0"/>
                <w:szCs w:val="21"/>
              </w:rPr>
            </w:pPr>
            <w:r>
              <w:rPr>
                <w:rFonts w:hint="eastAsia" w:ascii="宋体" w:hAnsi="宋体"/>
                <w:snapToGrid w:val="0"/>
                <w:kern w:val="0"/>
                <w:szCs w:val="21"/>
              </w:rPr>
              <w:t>项目经理</w:t>
            </w:r>
          </w:p>
        </w:tc>
        <w:tc>
          <w:tcPr>
            <w:tcW w:w="2136" w:type="dxa"/>
            <w:tcBorders>
              <w:top w:val="single" w:color="000000" w:sz="6" w:space="0"/>
              <w:left w:val="single" w:color="000000" w:sz="6" w:space="0"/>
              <w:bottom w:val="single" w:color="000000" w:sz="6" w:space="0"/>
              <w:right w:val="single" w:color="000000" w:sz="6" w:space="0"/>
            </w:tcBorders>
            <w:vAlign w:val="center"/>
          </w:tcPr>
          <w:p>
            <w:pPr>
              <w:tabs>
                <w:tab w:val="left" w:pos="2051"/>
              </w:tabs>
              <w:autoSpaceDE w:val="0"/>
              <w:autoSpaceDN w:val="0"/>
              <w:adjustRightInd w:val="0"/>
              <w:snapToGrid w:val="0"/>
              <w:spacing w:line="240" w:lineRule="atLeast"/>
              <w:jc w:val="center"/>
              <w:rPr>
                <w:rFonts w:ascii="宋体" w:hAnsi="宋体"/>
                <w:snapToGrid w:val="0"/>
                <w:kern w:val="0"/>
                <w:szCs w:val="21"/>
              </w:rPr>
            </w:pPr>
            <w:r>
              <w:rPr>
                <w:rFonts w:ascii="宋体" w:hAnsi="宋体"/>
                <w:snapToGrid w:val="0"/>
                <w:kern w:val="0"/>
                <w:szCs w:val="21"/>
              </w:rPr>
              <w:t>1.1.2.8</w:t>
            </w:r>
          </w:p>
        </w:tc>
        <w:tc>
          <w:tcPr>
            <w:tcW w:w="2728" w:type="dxa"/>
            <w:tcBorders>
              <w:top w:val="single" w:color="000000" w:sz="6" w:space="0"/>
              <w:left w:val="single" w:color="000000" w:sz="6" w:space="0"/>
              <w:bottom w:val="single" w:color="000000" w:sz="6" w:space="0"/>
              <w:right w:val="single" w:color="000000" w:sz="6" w:space="0"/>
            </w:tcBorders>
            <w:vAlign w:val="center"/>
          </w:tcPr>
          <w:p>
            <w:pPr>
              <w:tabs>
                <w:tab w:val="left" w:pos="2051"/>
              </w:tabs>
              <w:autoSpaceDE w:val="0"/>
              <w:autoSpaceDN w:val="0"/>
              <w:adjustRightInd w:val="0"/>
              <w:snapToGrid w:val="0"/>
              <w:spacing w:line="240" w:lineRule="atLeast"/>
              <w:jc w:val="center"/>
              <w:rPr>
                <w:rFonts w:ascii="宋体" w:hAnsi="宋体"/>
                <w:snapToGrid w:val="0"/>
                <w:kern w:val="0"/>
                <w:szCs w:val="21"/>
              </w:rPr>
            </w:pPr>
            <w:r>
              <w:rPr>
                <w:rFonts w:ascii="宋体" w:hAnsi="宋体"/>
                <w:snapToGrid w:val="0"/>
                <w:kern w:val="0"/>
                <w:szCs w:val="21"/>
              </w:rPr>
              <w:t>姓名：</w:t>
            </w:r>
          </w:p>
        </w:tc>
        <w:tc>
          <w:tcPr>
            <w:tcW w:w="717" w:type="dxa"/>
            <w:tcBorders>
              <w:top w:val="single" w:color="000000" w:sz="6" w:space="0"/>
              <w:left w:val="single" w:color="000000" w:sz="6" w:space="0"/>
              <w:bottom w:val="single" w:color="000000" w:sz="6" w:space="0"/>
              <w:right w:val="single" w:color="000000" w:sz="4" w:space="0"/>
            </w:tcBorders>
            <w:vAlign w:val="center"/>
          </w:tcPr>
          <w:p>
            <w:pPr>
              <w:autoSpaceDE w:val="0"/>
              <w:autoSpaceDN w:val="0"/>
              <w:adjustRightInd w:val="0"/>
              <w:snapToGrid w:val="0"/>
              <w:spacing w:line="240" w:lineRule="atLeast"/>
              <w:jc w:val="center"/>
              <w:rPr>
                <w:rFonts w:ascii="宋体" w:hAnsi="宋体"/>
                <w:snapToGrid w:val="0"/>
                <w:kern w:val="0"/>
                <w:sz w:val="24"/>
              </w:rPr>
            </w:pPr>
          </w:p>
        </w:tc>
      </w:tr>
      <w:tr>
        <w:tblPrEx>
          <w:tblCellMar>
            <w:top w:w="0" w:type="dxa"/>
            <w:left w:w="0" w:type="dxa"/>
            <w:bottom w:w="0" w:type="dxa"/>
            <w:right w:w="0" w:type="dxa"/>
          </w:tblCellMar>
        </w:tblPrEx>
        <w:trPr>
          <w:trHeight w:val="450" w:hRule="exact"/>
        </w:trPr>
        <w:tc>
          <w:tcPr>
            <w:tcW w:w="651" w:type="dxa"/>
            <w:tcBorders>
              <w:top w:val="single" w:color="000000" w:sz="6" w:space="0"/>
              <w:left w:val="single" w:color="000000" w:sz="4" w:space="0"/>
              <w:bottom w:val="single" w:color="000000" w:sz="6" w:space="0"/>
              <w:right w:val="single" w:color="000000" w:sz="6" w:space="0"/>
            </w:tcBorders>
            <w:vAlign w:val="center"/>
          </w:tcPr>
          <w:p>
            <w:pPr>
              <w:tabs>
                <w:tab w:val="left" w:pos="2051"/>
              </w:tabs>
              <w:autoSpaceDE w:val="0"/>
              <w:autoSpaceDN w:val="0"/>
              <w:adjustRightInd w:val="0"/>
              <w:snapToGrid w:val="0"/>
              <w:spacing w:line="240" w:lineRule="atLeast"/>
              <w:jc w:val="center"/>
              <w:rPr>
                <w:rFonts w:ascii="宋体" w:hAnsi="宋体"/>
                <w:snapToGrid w:val="0"/>
                <w:kern w:val="0"/>
                <w:szCs w:val="21"/>
              </w:rPr>
            </w:pPr>
            <w:r>
              <w:rPr>
                <w:rFonts w:ascii="宋体" w:hAnsi="宋体"/>
                <w:snapToGrid w:val="0"/>
                <w:kern w:val="0"/>
                <w:szCs w:val="21"/>
              </w:rPr>
              <w:t>…</w:t>
            </w:r>
          </w:p>
        </w:tc>
        <w:tc>
          <w:tcPr>
            <w:tcW w:w="2336" w:type="dxa"/>
            <w:tcBorders>
              <w:top w:val="single" w:color="000000" w:sz="6" w:space="0"/>
              <w:left w:val="single" w:color="000000" w:sz="6" w:space="0"/>
              <w:bottom w:val="single" w:color="000000" w:sz="6" w:space="0"/>
              <w:right w:val="single" w:color="000000" w:sz="6" w:space="0"/>
            </w:tcBorders>
            <w:vAlign w:val="center"/>
          </w:tcPr>
          <w:p>
            <w:pPr>
              <w:tabs>
                <w:tab w:val="left" w:pos="2051"/>
              </w:tabs>
              <w:autoSpaceDE w:val="0"/>
              <w:autoSpaceDN w:val="0"/>
              <w:adjustRightInd w:val="0"/>
              <w:snapToGrid w:val="0"/>
              <w:spacing w:line="240" w:lineRule="atLeast"/>
              <w:jc w:val="center"/>
              <w:rPr>
                <w:rFonts w:ascii="宋体" w:hAnsi="宋体"/>
                <w:snapToGrid w:val="0"/>
                <w:kern w:val="0"/>
                <w:szCs w:val="21"/>
              </w:rPr>
            </w:pPr>
            <w:r>
              <w:rPr>
                <w:rFonts w:ascii="宋体" w:hAnsi="宋体"/>
                <w:snapToGrid w:val="0"/>
                <w:kern w:val="0"/>
                <w:szCs w:val="21"/>
              </w:rPr>
              <w:t>……</w:t>
            </w:r>
          </w:p>
        </w:tc>
        <w:tc>
          <w:tcPr>
            <w:tcW w:w="2136" w:type="dxa"/>
            <w:tcBorders>
              <w:top w:val="single" w:color="000000" w:sz="6" w:space="0"/>
              <w:left w:val="single" w:color="000000" w:sz="6" w:space="0"/>
              <w:bottom w:val="single" w:color="000000" w:sz="6" w:space="0"/>
              <w:right w:val="single" w:color="000000" w:sz="6" w:space="0"/>
            </w:tcBorders>
            <w:vAlign w:val="center"/>
          </w:tcPr>
          <w:p>
            <w:pPr>
              <w:tabs>
                <w:tab w:val="left" w:pos="2051"/>
              </w:tabs>
              <w:autoSpaceDE w:val="0"/>
              <w:autoSpaceDN w:val="0"/>
              <w:adjustRightInd w:val="0"/>
              <w:snapToGrid w:val="0"/>
              <w:spacing w:line="240" w:lineRule="atLeast"/>
              <w:jc w:val="center"/>
              <w:rPr>
                <w:rFonts w:ascii="宋体" w:hAnsi="宋体"/>
                <w:snapToGrid w:val="0"/>
                <w:kern w:val="0"/>
                <w:szCs w:val="21"/>
              </w:rPr>
            </w:pPr>
            <w:r>
              <w:rPr>
                <w:rFonts w:ascii="宋体" w:hAnsi="宋体"/>
                <w:snapToGrid w:val="0"/>
                <w:kern w:val="0"/>
                <w:szCs w:val="21"/>
              </w:rPr>
              <w:t>……</w:t>
            </w:r>
          </w:p>
        </w:tc>
        <w:tc>
          <w:tcPr>
            <w:tcW w:w="2728" w:type="dxa"/>
            <w:tcBorders>
              <w:top w:val="single" w:color="000000" w:sz="6" w:space="0"/>
              <w:left w:val="single" w:color="000000" w:sz="6" w:space="0"/>
              <w:bottom w:val="single" w:color="000000" w:sz="6" w:space="0"/>
              <w:right w:val="single" w:color="000000" w:sz="6" w:space="0"/>
            </w:tcBorders>
            <w:vAlign w:val="center"/>
          </w:tcPr>
          <w:p>
            <w:pPr>
              <w:tabs>
                <w:tab w:val="left" w:pos="2051"/>
              </w:tabs>
              <w:autoSpaceDE w:val="0"/>
              <w:autoSpaceDN w:val="0"/>
              <w:adjustRightInd w:val="0"/>
              <w:snapToGrid w:val="0"/>
              <w:spacing w:line="240" w:lineRule="atLeast"/>
              <w:jc w:val="center"/>
              <w:rPr>
                <w:rFonts w:ascii="宋体" w:hAnsi="宋体"/>
                <w:snapToGrid w:val="0"/>
                <w:kern w:val="0"/>
                <w:szCs w:val="21"/>
              </w:rPr>
            </w:pPr>
            <w:r>
              <w:rPr>
                <w:rFonts w:ascii="宋体" w:hAnsi="宋体"/>
                <w:snapToGrid w:val="0"/>
                <w:kern w:val="0"/>
                <w:szCs w:val="21"/>
              </w:rPr>
              <w:t>……</w:t>
            </w:r>
          </w:p>
        </w:tc>
        <w:tc>
          <w:tcPr>
            <w:tcW w:w="717" w:type="dxa"/>
            <w:tcBorders>
              <w:top w:val="single" w:color="000000" w:sz="6" w:space="0"/>
              <w:left w:val="single" w:color="000000" w:sz="6" w:space="0"/>
              <w:bottom w:val="single" w:color="000000" w:sz="6" w:space="0"/>
              <w:right w:val="single" w:color="000000" w:sz="4" w:space="0"/>
            </w:tcBorders>
            <w:vAlign w:val="center"/>
          </w:tcPr>
          <w:p>
            <w:pPr>
              <w:autoSpaceDE w:val="0"/>
              <w:autoSpaceDN w:val="0"/>
              <w:adjustRightInd w:val="0"/>
              <w:snapToGrid w:val="0"/>
              <w:spacing w:line="240" w:lineRule="atLeast"/>
              <w:jc w:val="center"/>
              <w:rPr>
                <w:rFonts w:ascii="宋体" w:hAnsi="宋体"/>
                <w:snapToGrid w:val="0"/>
                <w:kern w:val="0"/>
                <w:sz w:val="24"/>
              </w:rPr>
            </w:pPr>
          </w:p>
        </w:tc>
      </w:tr>
    </w:tbl>
    <w:p>
      <w:pPr>
        <w:autoSpaceDE w:val="0"/>
        <w:autoSpaceDN w:val="0"/>
        <w:adjustRightInd w:val="0"/>
        <w:snapToGrid w:val="0"/>
        <w:spacing w:line="240" w:lineRule="atLeast"/>
        <w:jc w:val="left"/>
        <w:rPr>
          <w:rFonts w:ascii="宋体" w:hAnsi="宋体"/>
          <w:snapToGrid w:val="0"/>
          <w:kern w:val="0"/>
          <w:sz w:val="20"/>
        </w:rPr>
      </w:pPr>
    </w:p>
    <w:p>
      <w:pPr>
        <w:adjustRightInd w:val="0"/>
        <w:snapToGrid w:val="0"/>
        <w:spacing w:line="240" w:lineRule="atLeast"/>
        <w:rPr>
          <w:snapToGrid w:val="0"/>
        </w:rPr>
      </w:pPr>
    </w:p>
    <w:p>
      <w:pPr>
        <w:tabs>
          <w:tab w:val="left" w:pos="7140"/>
          <w:tab w:val="left" w:pos="7560"/>
          <w:tab w:val="left" w:pos="8300"/>
        </w:tabs>
        <w:autoSpaceDE w:val="0"/>
        <w:autoSpaceDN w:val="0"/>
        <w:adjustRightInd w:val="0"/>
        <w:snapToGrid w:val="0"/>
        <w:spacing w:line="240" w:lineRule="atLeast"/>
        <w:ind w:firstLine="1984" w:firstLineChars="945"/>
        <w:rPr>
          <w:rFonts w:ascii="宋体" w:hAnsi="宋体" w:cs="MingLiU"/>
          <w:snapToGrid w:val="0"/>
          <w:kern w:val="0"/>
          <w:szCs w:val="21"/>
        </w:rPr>
      </w:pPr>
    </w:p>
    <w:p>
      <w:pPr>
        <w:tabs>
          <w:tab w:val="left" w:pos="7140"/>
          <w:tab w:val="left" w:pos="7560"/>
          <w:tab w:val="left" w:pos="8300"/>
        </w:tabs>
        <w:autoSpaceDE w:val="0"/>
        <w:autoSpaceDN w:val="0"/>
        <w:adjustRightInd w:val="0"/>
        <w:snapToGrid w:val="0"/>
        <w:spacing w:line="240" w:lineRule="atLeast"/>
        <w:ind w:firstLine="1984" w:firstLineChars="945"/>
        <w:rPr>
          <w:rFonts w:ascii="宋体" w:hAnsi="宋体"/>
          <w:snapToGrid w:val="0"/>
          <w:kern w:val="0"/>
          <w:szCs w:val="21"/>
        </w:rPr>
      </w:pPr>
      <w:r>
        <w:rPr>
          <w:rFonts w:hint="eastAsia" w:ascii="宋体" w:hAnsi="宋体" w:cs="MingLiU"/>
          <w:snapToGrid w:val="0"/>
          <w:kern w:val="0"/>
          <w:szCs w:val="21"/>
        </w:rPr>
        <w:t>投标人：</w:t>
      </w:r>
      <w:r>
        <w:rPr>
          <w:rFonts w:hint="eastAsia" w:ascii="宋体" w:hAnsi="宋体" w:cs="MingLiU"/>
          <w:snapToGrid w:val="0"/>
          <w:kern w:val="0"/>
          <w:szCs w:val="21"/>
          <w:u w:val="single"/>
        </w:rPr>
        <w:t>　　　　　</w:t>
      </w:r>
      <w:r>
        <w:rPr>
          <w:rFonts w:hint="eastAsia" w:ascii="宋体" w:hAnsi="宋体" w:cs="MingLiU"/>
          <w:snapToGrid w:val="0"/>
          <w:kern w:val="0"/>
          <w:szCs w:val="21"/>
        </w:rPr>
        <w:t>（盖单位公章）</w:t>
      </w:r>
    </w:p>
    <w:p>
      <w:pPr>
        <w:tabs>
          <w:tab w:val="left" w:pos="7140"/>
          <w:tab w:val="left" w:pos="7560"/>
          <w:tab w:val="left" w:pos="8300"/>
        </w:tabs>
        <w:autoSpaceDE w:val="0"/>
        <w:autoSpaceDN w:val="0"/>
        <w:adjustRightInd w:val="0"/>
        <w:snapToGrid w:val="0"/>
        <w:spacing w:line="240" w:lineRule="atLeast"/>
        <w:ind w:firstLine="1995" w:firstLineChars="950"/>
        <w:rPr>
          <w:rFonts w:ascii="宋体" w:hAnsi="宋体" w:cs="MingLiU"/>
          <w:snapToGrid w:val="0"/>
          <w:kern w:val="0"/>
          <w:szCs w:val="21"/>
        </w:rPr>
      </w:pPr>
    </w:p>
    <w:p>
      <w:pPr>
        <w:tabs>
          <w:tab w:val="left" w:pos="7140"/>
          <w:tab w:val="left" w:pos="7560"/>
          <w:tab w:val="left" w:pos="8300"/>
        </w:tabs>
        <w:autoSpaceDE w:val="0"/>
        <w:autoSpaceDN w:val="0"/>
        <w:adjustRightInd w:val="0"/>
        <w:snapToGrid w:val="0"/>
        <w:spacing w:line="240" w:lineRule="atLeast"/>
        <w:ind w:firstLine="1995" w:firstLineChars="950"/>
        <w:rPr>
          <w:rFonts w:ascii="宋体" w:hAnsi="宋体"/>
          <w:snapToGrid w:val="0"/>
          <w:kern w:val="0"/>
          <w:szCs w:val="21"/>
        </w:rPr>
      </w:pPr>
      <w:r>
        <w:rPr>
          <w:rFonts w:hint="eastAsia" w:ascii="宋体" w:hAnsi="宋体" w:cs="MingLiU"/>
          <w:snapToGrid w:val="0"/>
          <w:kern w:val="0"/>
          <w:szCs w:val="21"/>
        </w:rPr>
        <w:t>法定代表人或其委托代理人：</w:t>
      </w:r>
      <w:r>
        <w:rPr>
          <w:rFonts w:ascii="宋体" w:hAnsi="宋体"/>
          <w:snapToGrid w:val="0"/>
          <w:kern w:val="0"/>
          <w:szCs w:val="21"/>
          <w:u w:val="single"/>
        </w:rPr>
        <w:tab/>
      </w:r>
      <w:r>
        <w:rPr>
          <w:rFonts w:hint="eastAsia" w:ascii="宋体" w:hAnsi="宋体" w:cs="MingLiU"/>
          <w:snapToGrid w:val="0"/>
          <w:kern w:val="0"/>
          <w:szCs w:val="21"/>
        </w:rPr>
        <w:t>（签字）</w:t>
      </w:r>
    </w:p>
    <w:p>
      <w:pPr>
        <w:jc w:val="center"/>
        <w:rPr>
          <w:rFonts w:ascii="宋体" w:hAnsi="宋体"/>
          <w:sz w:val="28"/>
        </w:rPr>
      </w:pPr>
      <w:r>
        <w:rPr>
          <w:rFonts w:ascii="宋体" w:hAnsi="宋体"/>
          <w:snapToGrid w:val="0"/>
          <w:w w:val="99"/>
        </w:rPr>
        <w:br w:type="page"/>
      </w:r>
      <w:bookmarkEnd w:id="1356"/>
      <w:bookmarkStart w:id="1357" w:name="_Toc287607870"/>
      <w:bookmarkStart w:id="1358" w:name="_Toc277082646"/>
      <w:bookmarkStart w:id="1359" w:name="_Toc6884"/>
      <w:bookmarkStart w:id="1360" w:name="_Toc224103498"/>
      <w:bookmarkStart w:id="1361" w:name="_Toc402290113"/>
    </w:p>
    <w:p>
      <w:pPr>
        <w:pStyle w:val="6"/>
        <w:jc w:val="center"/>
        <w:rPr>
          <w:rFonts w:ascii="宋体" w:hAnsi="宋体" w:cs="宋体"/>
          <w:sz w:val="31"/>
          <w:szCs w:val="31"/>
        </w:rPr>
      </w:pPr>
      <w:r>
        <w:rPr>
          <w:rFonts w:hint="eastAsia" w:ascii="宋体" w:hAnsi="宋体" w:cs="宋体"/>
          <w:sz w:val="31"/>
          <w:szCs w:val="31"/>
        </w:rPr>
        <w:t>（三） 法定代表人身份证明及授权委托书</w:t>
      </w:r>
    </w:p>
    <w:p>
      <w:pPr>
        <w:jc w:val="center"/>
        <w:rPr>
          <w:rFonts w:ascii="宋体" w:hAnsi="宋体" w:cs="宋体"/>
          <w:b/>
          <w:sz w:val="31"/>
          <w:szCs w:val="31"/>
        </w:rPr>
      </w:pPr>
      <w:r>
        <w:rPr>
          <w:rFonts w:hint="eastAsia" w:ascii="宋体" w:hAnsi="宋体" w:cs="宋体"/>
          <w:b/>
          <w:sz w:val="31"/>
          <w:szCs w:val="31"/>
        </w:rPr>
        <w:t>法定代表人身份证明</w:t>
      </w:r>
    </w:p>
    <w:p>
      <w:pPr>
        <w:jc w:val="center"/>
        <w:rPr>
          <w:rFonts w:ascii="宋体" w:hAnsi="宋体" w:cs="宋体"/>
          <w:b/>
          <w:sz w:val="31"/>
          <w:szCs w:val="31"/>
        </w:rPr>
      </w:pPr>
    </w:p>
    <w:p>
      <w:pPr>
        <w:tabs>
          <w:tab w:val="left" w:pos="5565"/>
        </w:tabs>
        <w:autoSpaceDE w:val="0"/>
        <w:autoSpaceDN w:val="0"/>
        <w:adjustRightInd w:val="0"/>
        <w:snapToGrid w:val="0"/>
        <w:spacing w:line="480" w:lineRule="auto"/>
        <w:ind w:firstLine="390" w:firstLineChars="186"/>
        <w:jc w:val="left"/>
        <w:rPr>
          <w:rFonts w:ascii="宋体" w:hAnsi="宋体" w:cs="宋体"/>
          <w:kern w:val="0"/>
        </w:rPr>
      </w:pPr>
      <w:r>
        <w:rPr>
          <w:rFonts w:hint="eastAsia" w:ascii="宋体" w:hAnsi="宋体" w:cs="宋体"/>
          <w:kern w:val="0"/>
        </w:rPr>
        <w:t>投标人名称：</w:t>
      </w:r>
      <w:r>
        <w:rPr>
          <w:rFonts w:hint="eastAsia" w:ascii="宋体" w:hAnsi="宋体" w:cs="宋体"/>
          <w:w w:val="200"/>
          <w:kern w:val="0"/>
          <w:u w:val="single"/>
        </w:rPr>
        <w:t xml:space="preserve"> </w:t>
      </w:r>
      <w:r>
        <w:rPr>
          <w:rFonts w:hint="eastAsia" w:ascii="宋体" w:hAnsi="宋体" w:cs="宋体"/>
          <w:kern w:val="0"/>
          <w:u w:val="single"/>
        </w:rPr>
        <w:tab/>
      </w:r>
    </w:p>
    <w:p>
      <w:pPr>
        <w:tabs>
          <w:tab w:val="left" w:pos="5475"/>
        </w:tabs>
        <w:autoSpaceDE w:val="0"/>
        <w:autoSpaceDN w:val="0"/>
        <w:adjustRightInd w:val="0"/>
        <w:snapToGrid w:val="0"/>
        <w:spacing w:line="480" w:lineRule="auto"/>
        <w:ind w:firstLine="390" w:firstLineChars="186"/>
        <w:jc w:val="left"/>
        <w:rPr>
          <w:rFonts w:ascii="宋体" w:hAnsi="宋体" w:cs="宋体"/>
          <w:kern w:val="0"/>
        </w:rPr>
      </w:pPr>
      <w:r>
        <w:rPr>
          <w:rFonts w:hint="eastAsia" w:ascii="宋体" w:hAnsi="宋体" w:cs="宋体"/>
          <w:kern w:val="0"/>
        </w:rPr>
        <w:t>单位性质：</w:t>
      </w:r>
      <w:r>
        <w:rPr>
          <w:rFonts w:hint="eastAsia" w:ascii="宋体" w:hAnsi="宋体" w:cs="宋体"/>
          <w:w w:val="200"/>
          <w:kern w:val="0"/>
          <w:u w:val="single"/>
        </w:rPr>
        <w:t xml:space="preserve"> </w:t>
      </w:r>
      <w:r>
        <w:rPr>
          <w:rFonts w:hint="eastAsia" w:ascii="宋体" w:hAnsi="宋体" w:cs="宋体"/>
          <w:kern w:val="0"/>
          <w:u w:val="single"/>
        </w:rPr>
        <w:tab/>
      </w:r>
    </w:p>
    <w:p>
      <w:pPr>
        <w:tabs>
          <w:tab w:val="left" w:pos="5475"/>
        </w:tabs>
        <w:autoSpaceDE w:val="0"/>
        <w:autoSpaceDN w:val="0"/>
        <w:adjustRightInd w:val="0"/>
        <w:snapToGrid w:val="0"/>
        <w:spacing w:line="480" w:lineRule="auto"/>
        <w:ind w:firstLine="390" w:firstLineChars="186"/>
        <w:jc w:val="left"/>
        <w:rPr>
          <w:rFonts w:ascii="宋体" w:hAnsi="宋体" w:cs="宋体"/>
          <w:kern w:val="0"/>
        </w:rPr>
      </w:pPr>
      <w:r>
        <w:rPr>
          <w:rFonts w:hint="eastAsia" w:ascii="宋体" w:hAnsi="宋体" w:cs="宋体"/>
          <w:kern w:val="0"/>
        </w:rPr>
        <w:t>地址：</w:t>
      </w:r>
      <w:r>
        <w:rPr>
          <w:rFonts w:hint="eastAsia" w:ascii="宋体" w:hAnsi="宋体" w:cs="宋体"/>
          <w:w w:val="200"/>
          <w:kern w:val="0"/>
          <w:u w:val="single"/>
        </w:rPr>
        <w:t xml:space="preserve"> </w:t>
      </w:r>
      <w:r>
        <w:rPr>
          <w:rFonts w:hint="eastAsia" w:ascii="宋体" w:hAnsi="宋体" w:cs="宋体"/>
          <w:kern w:val="0"/>
          <w:u w:val="single"/>
        </w:rPr>
        <w:tab/>
      </w:r>
    </w:p>
    <w:p>
      <w:pPr>
        <w:tabs>
          <w:tab w:val="left" w:pos="2520"/>
          <w:tab w:val="left" w:pos="3836"/>
        </w:tabs>
        <w:autoSpaceDE w:val="0"/>
        <w:autoSpaceDN w:val="0"/>
        <w:adjustRightInd w:val="0"/>
        <w:snapToGrid w:val="0"/>
        <w:spacing w:line="480" w:lineRule="auto"/>
        <w:ind w:firstLine="390" w:firstLineChars="186"/>
        <w:jc w:val="left"/>
        <w:rPr>
          <w:rFonts w:ascii="宋体" w:hAnsi="宋体" w:cs="宋体"/>
          <w:kern w:val="0"/>
        </w:rPr>
      </w:pPr>
      <w:r>
        <w:rPr>
          <w:rFonts w:hint="eastAsia" w:ascii="宋体" w:hAnsi="宋体" w:cs="宋体"/>
          <w:kern w:val="0"/>
        </w:rPr>
        <w:t>成立时间：</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 xml:space="preserve"> </w:t>
      </w:r>
      <w:r>
        <w:rPr>
          <w:rFonts w:hint="eastAsia" w:ascii="宋体" w:hAnsi="宋体" w:cs="宋体"/>
          <w:spacing w:val="-1"/>
          <w:kern w:val="0"/>
        </w:rPr>
        <w:t>年</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u w:val="single"/>
        </w:rPr>
        <w:t xml:space="preserve"> </w:t>
      </w:r>
      <w:r>
        <w:rPr>
          <w:rFonts w:hint="eastAsia" w:ascii="宋体" w:hAnsi="宋体" w:cs="宋体"/>
          <w:kern w:val="0"/>
        </w:rPr>
        <w:t xml:space="preserve"> </w:t>
      </w:r>
      <w:r>
        <w:rPr>
          <w:rFonts w:hint="eastAsia" w:ascii="宋体" w:hAnsi="宋体" w:cs="宋体"/>
          <w:spacing w:val="-1"/>
          <w:kern w:val="0"/>
        </w:rPr>
        <w:t>月</w:t>
      </w:r>
      <w:r>
        <w:rPr>
          <w:rFonts w:hint="eastAsia" w:ascii="宋体" w:hAnsi="宋体" w:cs="宋体"/>
          <w:w w:val="200"/>
          <w:kern w:val="0"/>
          <w:u w:val="single"/>
        </w:rPr>
        <w:t xml:space="preserve"> </w:t>
      </w:r>
      <w:r>
        <w:rPr>
          <w:rFonts w:hint="eastAsia" w:ascii="宋体" w:hAnsi="宋体" w:cs="宋体"/>
          <w:kern w:val="0"/>
          <w:u w:val="single"/>
        </w:rPr>
        <w:t xml:space="preserve">         </w:t>
      </w:r>
      <w:r>
        <w:rPr>
          <w:rFonts w:hint="eastAsia" w:ascii="宋体" w:hAnsi="宋体" w:cs="宋体"/>
          <w:kern w:val="0"/>
        </w:rPr>
        <w:t>日</w:t>
      </w:r>
    </w:p>
    <w:p>
      <w:pPr>
        <w:tabs>
          <w:tab w:val="left" w:pos="5475"/>
        </w:tabs>
        <w:autoSpaceDE w:val="0"/>
        <w:autoSpaceDN w:val="0"/>
        <w:adjustRightInd w:val="0"/>
        <w:snapToGrid w:val="0"/>
        <w:spacing w:line="480" w:lineRule="auto"/>
        <w:ind w:firstLine="390" w:firstLineChars="186"/>
        <w:jc w:val="left"/>
        <w:rPr>
          <w:rFonts w:ascii="宋体" w:hAnsi="宋体" w:cs="宋体"/>
          <w:kern w:val="0"/>
        </w:rPr>
      </w:pPr>
      <w:r>
        <w:rPr>
          <w:rFonts w:hint="eastAsia" w:ascii="宋体" w:hAnsi="宋体" w:cs="宋体"/>
          <w:kern w:val="0"/>
        </w:rPr>
        <w:t>经营期限：</w:t>
      </w:r>
      <w:r>
        <w:rPr>
          <w:rFonts w:hint="eastAsia" w:ascii="宋体" w:hAnsi="宋体" w:cs="宋体"/>
          <w:w w:val="200"/>
          <w:kern w:val="0"/>
          <w:u w:val="single"/>
        </w:rPr>
        <w:t xml:space="preserve"> </w:t>
      </w:r>
      <w:r>
        <w:rPr>
          <w:rFonts w:hint="eastAsia" w:ascii="宋体" w:hAnsi="宋体" w:cs="宋体"/>
          <w:kern w:val="0"/>
          <w:u w:val="single"/>
        </w:rPr>
        <w:tab/>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s="宋体"/>
          <w:kern w:val="0"/>
        </w:rPr>
      </w:pPr>
      <w:r>
        <w:rPr>
          <w:rFonts w:hint="eastAsia" w:ascii="宋体" w:hAnsi="宋体" w:cs="宋体"/>
          <w:kern w:val="0"/>
        </w:rPr>
        <w:t>姓名：</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 xml:space="preserve"> 性别</w:t>
      </w:r>
      <w:r>
        <w:rPr>
          <w:rFonts w:hint="eastAsia" w:ascii="宋体" w:hAnsi="宋体" w:cs="宋体"/>
          <w:spacing w:val="-1"/>
          <w:kern w:val="0"/>
        </w:rPr>
        <w:t>：</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 xml:space="preserve"> </w:t>
      </w:r>
      <w:r>
        <w:rPr>
          <w:rFonts w:hint="eastAsia" w:ascii="宋体" w:hAnsi="宋体" w:cs="宋体"/>
          <w:spacing w:val="-1"/>
          <w:kern w:val="0"/>
        </w:rPr>
        <w:t>年</w:t>
      </w:r>
      <w:r>
        <w:rPr>
          <w:rFonts w:hint="eastAsia" w:ascii="宋体" w:hAnsi="宋体" w:cs="宋体"/>
          <w:kern w:val="0"/>
        </w:rPr>
        <w:t>龄：</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职务：</w:t>
      </w:r>
      <w:r>
        <w:rPr>
          <w:rFonts w:hint="eastAsia" w:ascii="宋体" w:hAnsi="宋体" w:cs="宋体"/>
          <w:w w:val="200"/>
          <w:kern w:val="0"/>
          <w:u w:val="single"/>
        </w:rPr>
        <w:t xml:space="preserve"> </w:t>
      </w:r>
      <w:r>
        <w:rPr>
          <w:rFonts w:hint="eastAsia" w:ascii="宋体" w:hAnsi="宋体" w:cs="宋体"/>
          <w:kern w:val="0"/>
          <w:u w:val="single"/>
        </w:rPr>
        <w:tab/>
      </w:r>
    </w:p>
    <w:p>
      <w:pPr>
        <w:tabs>
          <w:tab w:val="left" w:pos="3360"/>
        </w:tabs>
        <w:autoSpaceDE w:val="0"/>
        <w:autoSpaceDN w:val="0"/>
        <w:adjustRightInd w:val="0"/>
        <w:snapToGrid w:val="0"/>
        <w:spacing w:line="480" w:lineRule="auto"/>
        <w:ind w:firstLine="390" w:firstLineChars="186"/>
        <w:jc w:val="left"/>
        <w:rPr>
          <w:rFonts w:ascii="宋体" w:hAnsi="宋体" w:cs="宋体"/>
          <w:kern w:val="0"/>
        </w:rPr>
      </w:pPr>
      <w:r>
        <w:rPr>
          <w:rFonts w:hint="eastAsia" w:ascii="宋体" w:hAnsi="宋体" w:cs="宋体"/>
          <w:kern w:val="0"/>
        </w:rPr>
        <w:t>系</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 xml:space="preserve"> （投标人名称）的法定代表人。</w:t>
      </w:r>
    </w:p>
    <w:p>
      <w:pPr>
        <w:tabs>
          <w:tab w:val="left" w:pos="3360"/>
        </w:tabs>
        <w:autoSpaceDE w:val="0"/>
        <w:autoSpaceDN w:val="0"/>
        <w:adjustRightInd w:val="0"/>
        <w:snapToGrid w:val="0"/>
        <w:spacing w:line="480" w:lineRule="auto"/>
        <w:ind w:firstLine="390" w:firstLineChars="186"/>
        <w:jc w:val="left"/>
        <w:rPr>
          <w:rFonts w:ascii="宋体" w:hAnsi="宋体" w:cs="宋体"/>
          <w:kern w:val="0"/>
          <w:u w:val="single"/>
        </w:rPr>
      </w:pPr>
      <w:r>
        <w:rPr>
          <w:rFonts w:hint="eastAsia" w:ascii="宋体" w:hAnsi="宋体" w:cs="宋体"/>
          <w:kern w:val="0"/>
        </w:rPr>
        <w:t xml:space="preserve"> </w:t>
      </w:r>
    </w:p>
    <w:p>
      <w:pPr>
        <w:tabs>
          <w:tab w:val="left" w:pos="3360"/>
        </w:tabs>
        <w:autoSpaceDE w:val="0"/>
        <w:autoSpaceDN w:val="0"/>
        <w:adjustRightInd w:val="0"/>
        <w:snapToGrid w:val="0"/>
        <w:spacing w:line="480" w:lineRule="auto"/>
        <w:ind w:firstLine="390" w:firstLineChars="186"/>
        <w:jc w:val="left"/>
        <w:rPr>
          <w:rFonts w:ascii="宋体" w:hAnsi="宋体" w:cs="宋体"/>
          <w:kern w:val="0"/>
        </w:rPr>
      </w:pPr>
      <w:r>
        <w:rPr>
          <w:rFonts w:hint="eastAsia" w:ascii="宋体" w:hAnsi="宋体" w:cs="宋体"/>
          <w:kern w:val="0"/>
        </w:rPr>
        <w:t xml:space="preserve">   特此证明</w:t>
      </w:r>
    </w:p>
    <w:p>
      <w:pPr>
        <w:tabs>
          <w:tab w:val="left" w:pos="3360"/>
        </w:tabs>
        <w:autoSpaceDE w:val="0"/>
        <w:autoSpaceDN w:val="0"/>
        <w:adjustRightInd w:val="0"/>
        <w:snapToGrid w:val="0"/>
        <w:spacing w:line="480" w:lineRule="auto"/>
        <w:ind w:firstLine="390" w:firstLineChars="186"/>
        <w:jc w:val="left"/>
        <w:rPr>
          <w:rFonts w:ascii="宋体" w:hAnsi="宋体" w:cs="宋体"/>
          <w:kern w:val="0"/>
          <w:u w:val="single"/>
        </w:rPr>
      </w:pPr>
    </w:p>
    <w:tbl>
      <w:tblPr>
        <w:tblStyle w:val="54"/>
        <w:tblpPr w:leftFromText="180" w:rightFromText="180" w:vertAnchor="text" w:horzAnchor="margin" w:tblpXSpec="center" w:tblpY="359"/>
        <w:tblW w:w="8044"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022"/>
        <w:gridCol w:w="4022"/>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3105" w:hRule="atLeast"/>
        </w:trPr>
        <w:tc>
          <w:tcPr>
            <w:tcW w:w="4022" w:type="dxa"/>
            <w:tcBorders>
              <w:top w:val="dotDotDash" w:color="auto" w:sz="4" w:space="0"/>
              <w:left w:val="dotDotDash" w:color="auto" w:sz="4" w:space="0"/>
              <w:bottom w:val="dotDotDash" w:color="auto" w:sz="4" w:space="0"/>
              <w:right w:val="dotDotDash" w:color="auto" w:sz="4" w:space="0"/>
            </w:tcBorders>
          </w:tcPr>
          <w:p>
            <w:pPr>
              <w:spacing w:line="520" w:lineRule="exact"/>
              <w:jc w:val="center"/>
              <w:rPr>
                <w:rFonts w:ascii="宋体" w:hAnsi="宋体" w:cs="宋体"/>
              </w:rPr>
            </w:pPr>
            <w:r>
              <w:rPr>
                <w:rFonts w:hint="eastAsia" w:ascii="宋体" w:hAnsi="宋体" w:cs="宋体"/>
              </w:rPr>
              <w:t>附法定代表人身份证</w:t>
            </w:r>
            <w:r>
              <w:rPr>
                <w:rFonts w:hint="eastAsia" w:ascii="宋体" w:hAnsi="宋体"/>
                <w:szCs w:val="21"/>
              </w:rPr>
              <w:t>（第二代）</w:t>
            </w:r>
            <w:r>
              <w:rPr>
                <w:rFonts w:hint="eastAsia" w:ascii="宋体" w:hAnsi="宋体" w:cs="宋体"/>
              </w:rPr>
              <w:t xml:space="preserve">复印件  </w:t>
            </w:r>
            <w:r>
              <w:rPr>
                <w:rFonts w:hint="eastAsia" w:ascii="宋体" w:hAnsi="宋体"/>
                <w:szCs w:val="21"/>
              </w:rPr>
              <w:t>（一面）</w:t>
            </w:r>
          </w:p>
          <w:p>
            <w:pPr>
              <w:spacing w:line="520" w:lineRule="exact"/>
              <w:rPr>
                <w:rFonts w:ascii="宋体" w:hAnsi="宋体" w:cs="宋体"/>
                <w:sz w:val="28"/>
              </w:rPr>
            </w:pPr>
          </w:p>
          <w:p>
            <w:pPr>
              <w:spacing w:line="520" w:lineRule="exact"/>
              <w:rPr>
                <w:rFonts w:ascii="宋体" w:hAnsi="宋体" w:cs="宋体"/>
                <w:sz w:val="28"/>
              </w:rPr>
            </w:pPr>
          </w:p>
          <w:p>
            <w:pPr>
              <w:spacing w:line="520" w:lineRule="exact"/>
              <w:rPr>
                <w:rFonts w:ascii="宋体" w:hAnsi="宋体" w:cs="宋体"/>
                <w:sz w:val="28"/>
              </w:rPr>
            </w:pPr>
          </w:p>
          <w:p>
            <w:pPr>
              <w:spacing w:line="520" w:lineRule="exact"/>
              <w:rPr>
                <w:rFonts w:ascii="宋体" w:hAnsi="宋体" w:cs="宋体"/>
                <w:sz w:val="28"/>
              </w:rPr>
            </w:pPr>
          </w:p>
        </w:tc>
        <w:tc>
          <w:tcPr>
            <w:tcW w:w="4022" w:type="dxa"/>
            <w:tcBorders>
              <w:top w:val="dotDotDash" w:color="auto" w:sz="4" w:space="0"/>
              <w:left w:val="dotDotDash" w:color="auto" w:sz="4" w:space="0"/>
              <w:bottom w:val="dotDotDash" w:color="auto" w:sz="4" w:space="0"/>
              <w:right w:val="dotDotDash" w:color="auto" w:sz="4" w:space="0"/>
            </w:tcBorders>
          </w:tcPr>
          <w:p>
            <w:pPr>
              <w:spacing w:line="520" w:lineRule="exact"/>
              <w:rPr>
                <w:rFonts w:ascii="宋体" w:hAnsi="宋体" w:cs="宋体"/>
                <w:sz w:val="28"/>
              </w:rPr>
            </w:pPr>
            <w:r>
              <w:rPr>
                <w:rFonts w:hint="eastAsia" w:ascii="宋体" w:hAnsi="宋体" w:cs="宋体"/>
              </w:rPr>
              <w:t>附法定代表人身份证</w:t>
            </w:r>
            <w:r>
              <w:rPr>
                <w:rFonts w:hint="eastAsia" w:ascii="宋体" w:hAnsi="宋体"/>
                <w:szCs w:val="21"/>
              </w:rPr>
              <w:t>（第二代）</w:t>
            </w:r>
            <w:r>
              <w:rPr>
                <w:rFonts w:hint="eastAsia" w:ascii="宋体" w:hAnsi="宋体" w:cs="宋体"/>
              </w:rPr>
              <w:t>复印件</w:t>
            </w:r>
          </w:p>
          <w:p>
            <w:pPr>
              <w:spacing w:line="520" w:lineRule="exact"/>
              <w:jc w:val="center"/>
              <w:rPr>
                <w:rFonts w:ascii="宋体" w:hAnsi="宋体" w:cs="宋体"/>
                <w:sz w:val="28"/>
              </w:rPr>
            </w:pPr>
            <w:r>
              <w:rPr>
                <w:rFonts w:hint="eastAsia" w:ascii="宋体" w:hAnsi="宋体"/>
                <w:szCs w:val="21"/>
              </w:rPr>
              <w:t>（另一面）</w:t>
            </w:r>
          </w:p>
          <w:p>
            <w:pPr>
              <w:spacing w:line="520" w:lineRule="exact"/>
              <w:rPr>
                <w:rFonts w:ascii="宋体" w:hAnsi="宋体" w:cs="宋体"/>
                <w:sz w:val="28"/>
              </w:rPr>
            </w:pPr>
          </w:p>
          <w:p>
            <w:pPr>
              <w:spacing w:line="520" w:lineRule="exact"/>
              <w:rPr>
                <w:rFonts w:ascii="宋体" w:hAnsi="宋体" w:cs="宋体"/>
                <w:sz w:val="28"/>
              </w:rPr>
            </w:pPr>
          </w:p>
        </w:tc>
      </w:tr>
    </w:tbl>
    <w:p>
      <w:pPr>
        <w:autoSpaceDE w:val="0"/>
        <w:autoSpaceDN w:val="0"/>
        <w:adjustRightInd w:val="0"/>
        <w:snapToGrid w:val="0"/>
        <w:spacing w:line="360" w:lineRule="auto"/>
        <w:ind w:firstLine="4305" w:firstLineChars="2050"/>
        <w:jc w:val="left"/>
        <w:rPr>
          <w:rFonts w:ascii="宋体" w:hAnsi="宋体" w:cs="宋体"/>
          <w:kern w:val="0"/>
        </w:rPr>
      </w:pPr>
      <w:r>
        <w:rPr>
          <w:rFonts w:hint="eastAsia" w:ascii="宋体" w:hAnsi="宋体" w:cs="宋体"/>
          <w:kern w:val="0"/>
        </w:rPr>
        <w:t>投标</w:t>
      </w:r>
      <w:r>
        <w:rPr>
          <w:rFonts w:hint="eastAsia" w:ascii="宋体" w:hAnsi="宋体" w:cs="宋体"/>
          <w:spacing w:val="-1"/>
          <w:kern w:val="0"/>
        </w:rPr>
        <w:t>人</w:t>
      </w:r>
      <w:r>
        <w:rPr>
          <w:rFonts w:hint="eastAsia" w:ascii="宋体" w:hAnsi="宋体" w:cs="宋体"/>
          <w:kern w:val="0"/>
        </w:rPr>
        <w:t>：</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u w:val="single"/>
        </w:rPr>
        <w:t xml:space="preserve">             </w:t>
      </w:r>
      <w:r>
        <w:rPr>
          <w:rFonts w:hint="eastAsia" w:ascii="宋体" w:hAnsi="宋体" w:cs="宋体"/>
          <w:spacing w:val="-1"/>
          <w:kern w:val="0"/>
        </w:rPr>
        <w:t>（</w:t>
      </w:r>
      <w:r>
        <w:rPr>
          <w:rFonts w:hint="eastAsia" w:ascii="宋体" w:hAnsi="宋体" w:cs="宋体"/>
          <w:kern w:val="0"/>
        </w:rPr>
        <w:t>盖单位公章）</w:t>
      </w:r>
    </w:p>
    <w:p>
      <w:pPr>
        <w:autoSpaceDE w:val="0"/>
        <w:autoSpaceDN w:val="0"/>
        <w:adjustRightInd w:val="0"/>
        <w:snapToGrid w:val="0"/>
        <w:spacing w:line="360" w:lineRule="auto"/>
        <w:ind w:firstLine="4410" w:firstLineChars="1050"/>
        <w:jc w:val="left"/>
        <w:rPr>
          <w:rFonts w:ascii="宋体" w:hAnsi="宋体" w:cs="宋体"/>
          <w:kern w:val="0"/>
        </w:rPr>
      </w:pP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spacing w:val="-1"/>
          <w:kern w:val="0"/>
        </w:rPr>
        <w:t>年</w:t>
      </w:r>
      <w:r>
        <w:rPr>
          <w:rFonts w:hint="eastAsia" w:ascii="宋体" w:hAnsi="宋体" w:cs="宋体"/>
          <w:w w:val="200"/>
          <w:kern w:val="0"/>
          <w:u w:val="single"/>
        </w:rPr>
        <w:t xml:space="preserve">   </w:t>
      </w:r>
      <w:r>
        <w:rPr>
          <w:rFonts w:hint="eastAsia" w:ascii="宋体" w:hAnsi="宋体" w:cs="宋体"/>
          <w:kern w:val="0"/>
        </w:rPr>
        <w:t>月</w:t>
      </w:r>
      <w:r>
        <w:rPr>
          <w:rFonts w:hint="eastAsia" w:ascii="宋体" w:hAnsi="宋体" w:cs="宋体"/>
          <w:w w:val="200"/>
          <w:kern w:val="0"/>
          <w:u w:val="single"/>
        </w:rPr>
        <w:t xml:space="preserve">   </w:t>
      </w:r>
      <w:r>
        <w:rPr>
          <w:rFonts w:hint="eastAsia" w:ascii="宋体" w:hAnsi="宋体" w:cs="宋体"/>
          <w:kern w:val="0"/>
        </w:rPr>
        <w:t>日</w:t>
      </w:r>
    </w:p>
    <w:p>
      <w:pPr>
        <w:autoSpaceDE w:val="0"/>
        <w:autoSpaceDN w:val="0"/>
        <w:adjustRightInd w:val="0"/>
        <w:snapToGrid w:val="0"/>
        <w:spacing w:line="360" w:lineRule="auto"/>
        <w:jc w:val="left"/>
        <w:rPr>
          <w:rFonts w:ascii="宋体" w:hAnsi="宋体" w:cs="宋体"/>
          <w:kern w:val="0"/>
        </w:rPr>
      </w:pPr>
    </w:p>
    <w:p>
      <w:pPr>
        <w:autoSpaceDE w:val="0"/>
        <w:autoSpaceDN w:val="0"/>
        <w:adjustRightInd w:val="0"/>
        <w:snapToGrid w:val="0"/>
        <w:spacing w:line="360" w:lineRule="auto"/>
        <w:jc w:val="left"/>
        <w:rPr>
          <w:rFonts w:ascii="宋体" w:hAnsi="宋体" w:cs="宋体"/>
          <w:kern w:val="0"/>
        </w:rPr>
      </w:pPr>
      <w:r>
        <w:rPr>
          <w:rFonts w:hint="eastAsia" w:ascii="宋体" w:hAnsi="宋体" w:cs="宋体"/>
          <w:kern w:val="0"/>
        </w:rPr>
        <w:t>注：法定代表人身份证明需按上述格式填写完整，不可缺少内容。在此基础上增加内容的不影响其有效性</w:t>
      </w:r>
    </w:p>
    <w:p>
      <w:pPr>
        <w:jc w:val="center"/>
        <w:rPr>
          <w:rFonts w:ascii="宋体" w:hAnsi="宋体" w:cs="宋体"/>
          <w:b/>
          <w:sz w:val="28"/>
          <w:szCs w:val="28"/>
        </w:rPr>
      </w:pPr>
      <w:r>
        <w:rPr>
          <w:rFonts w:ascii="宋体" w:hAnsi="宋体" w:cs="宋体"/>
          <w:b/>
          <w:sz w:val="28"/>
          <w:szCs w:val="28"/>
        </w:rPr>
        <w:br w:type="page"/>
      </w:r>
    </w:p>
    <w:p>
      <w:pPr>
        <w:jc w:val="center"/>
        <w:rPr>
          <w:rFonts w:ascii="宋体" w:hAnsi="宋体" w:cs="宋体"/>
          <w:b/>
          <w:sz w:val="28"/>
          <w:szCs w:val="28"/>
        </w:rPr>
      </w:pPr>
      <w:r>
        <w:rPr>
          <w:rFonts w:hint="eastAsia" w:ascii="宋体" w:hAnsi="宋体" w:cs="宋体"/>
          <w:b/>
          <w:sz w:val="28"/>
          <w:szCs w:val="28"/>
        </w:rPr>
        <w:t>授权委托书</w:t>
      </w:r>
    </w:p>
    <w:p>
      <w:pPr>
        <w:autoSpaceDE w:val="0"/>
        <w:autoSpaceDN w:val="0"/>
        <w:adjustRightInd w:val="0"/>
        <w:snapToGrid w:val="0"/>
        <w:spacing w:line="360" w:lineRule="auto"/>
        <w:jc w:val="left"/>
        <w:rPr>
          <w:rFonts w:ascii="宋体" w:hAnsi="宋体" w:cs="宋体"/>
          <w:kern w:val="0"/>
          <w:sz w:val="19"/>
          <w:szCs w:val="19"/>
        </w:rPr>
      </w:pP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rPr>
      </w:pPr>
      <w:r>
        <w:rPr>
          <w:rFonts w:hint="eastAsia" w:ascii="宋体" w:hAnsi="宋体" w:cs="宋体"/>
          <w:kern w:val="0"/>
        </w:rPr>
        <w:t>本人</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（姓名）系</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w:t>
      </w:r>
      <w:r>
        <w:rPr>
          <w:rFonts w:hint="eastAsia" w:ascii="宋体" w:hAnsi="宋体" w:cs="宋体"/>
          <w:spacing w:val="-1"/>
          <w:kern w:val="0"/>
        </w:rPr>
        <w:t>投</w:t>
      </w:r>
      <w:r>
        <w:rPr>
          <w:rFonts w:hint="eastAsia" w:ascii="宋体" w:hAnsi="宋体" w:cs="宋体"/>
          <w:kern w:val="0"/>
        </w:rPr>
        <w:t>标人名称</w:t>
      </w:r>
      <w:r>
        <w:rPr>
          <w:rFonts w:hint="eastAsia" w:ascii="宋体" w:hAnsi="宋体" w:cs="宋体"/>
          <w:spacing w:val="1"/>
          <w:kern w:val="0"/>
        </w:rPr>
        <w:t>）</w:t>
      </w:r>
      <w:r>
        <w:rPr>
          <w:rFonts w:hint="eastAsia" w:ascii="宋体" w:hAnsi="宋体" w:cs="宋体"/>
          <w:kern w:val="0"/>
        </w:rPr>
        <w:t>的法定代</w:t>
      </w:r>
      <w:r>
        <w:rPr>
          <w:rFonts w:hint="eastAsia" w:ascii="宋体" w:hAnsi="宋体" w:cs="宋体"/>
          <w:spacing w:val="1"/>
          <w:kern w:val="0"/>
        </w:rPr>
        <w:t>表</w:t>
      </w:r>
      <w:r>
        <w:rPr>
          <w:rFonts w:hint="eastAsia" w:ascii="宋体" w:hAnsi="宋体" w:cs="宋体"/>
          <w:kern w:val="0"/>
        </w:rPr>
        <w:t>人，现委托</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（姓名）为我方代理人。代理人根据授权，以我方名义签署、澄清、说明、补正、递交、撤回、 修改</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（项</w:t>
      </w:r>
      <w:r>
        <w:rPr>
          <w:rFonts w:hint="eastAsia" w:ascii="宋体" w:hAnsi="宋体" w:cs="宋体"/>
          <w:spacing w:val="-1"/>
          <w:kern w:val="0"/>
        </w:rPr>
        <w:t>目</w:t>
      </w:r>
      <w:r>
        <w:rPr>
          <w:rFonts w:hint="eastAsia" w:ascii="宋体" w:hAnsi="宋体" w:cs="宋体"/>
          <w:kern w:val="0"/>
        </w:rPr>
        <w:t>名称）施工投标文件、签订合同和处理有关事宜， 其法律后果由我方承担。</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rPr>
      </w:pPr>
      <w:r>
        <w:rPr>
          <w:rFonts w:hint="eastAsia" w:ascii="宋体" w:hAnsi="宋体" w:cs="宋体"/>
          <w:kern w:val="0"/>
        </w:rPr>
        <w:t>委托期限：</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 xml:space="preserve">。 </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rPr>
      </w:pP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rPr>
      </w:pPr>
      <w:r>
        <w:rPr>
          <w:rFonts w:hint="eastAsia" w:ascii="宋体" w:hAnsi="宋体" w:cs="宋体"/>
          <w:kern w:val="0"/>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rPr>
      </w:pPr>
      <w:r>
        <w:rPr>
          <w:rFonts w:hint="eastAsia" w:ascii="宋体" w:hAnsi="宋体" w:cs="宋体"/>
          <w:kern w:val="0"/>
        </w:rPr>
        <w:t>附：法定代表人身份证明。</w:t>
      </w:r>
    </w:p>
    <w:p>
      <w:pPr>
        <w:autoSpaceDE w:val="0"/>
        <w:autoSpaceDN w:val="0"/>
        <w:adjustRightInd w:val="0"/>
        <w:snapToGrid w:val="0"/>
        <w:spacing w:line="360" w:lineRule="auto"/>
        <w:jc w:val="left"/>
        <w:rPr>
          <w:rFonts w:ascii="宋体" w:hAnsi="宋体" w:cs="宋体"/>
          <w:kern w:val="0"/>
        </w:rPr>
      </w:pPr>
    </w:p>
    <w:p>
      <w:pPr>
        <w:tabs>
          <w:tab w:val="left" w:pos="4200"/>
          <w:tab w:val="left" w:pos="4620"/>
        </w:tabs>
        <w:autoSpaceDE w:val="0"/>
        <w:autoSpaceDN w:val="0"/>
        <w:adjustRightInd w:val="0"/>
        <w:snapToGrid w:val="0"/>
        <w:spacing w:line="360" w:lineRule="auto"/>
        <w:ind w:firstLine="1694"/>
        <w:jc w:val="left"/>
        <w:rPr>
          <w:rFonts w:ascii="宋体" w:hAnsi="宋体" w:cs="宋体"/>
          <w:kern w:val="0"/>
        </w:rPr>
      </w:pPr>
      <w:r>
        <w:rPr>
          <w:rFonts w:hint="eastAsia" w:ascii="宋体" w:hAnsi="宋体" w:cs="宋体"/>
          <w:kern w:val="0"/>
        </w:rPr>
        <w:t>投  标  人：</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u w:val="single"/>
        </w:rPr>
        <w:t xml:space="preserve">    </w:t>
      </w:r>
      <w:r>
        <w:rPr>
          <w:rFonts w:hint="eastAsia" w:ascii="宋体" w:hAnsi="宋体" w:cs="宋体"/>
          <w:kern w:val="0"/>
        </w:rPr>
        <w:t>（</w:t>
      </w:r>
      <w:r>
        <w:rPr>
          <w:rFonts w:hint="eastAsia" w:ascii="宋体" w:hAnsi="宋体" w:cs="宋体"/>
          <w:spacing w:val="-1"/>
          <w:kern w:val="0"/>
        </w:rPr>
        <w:t>盖</w:t>
      </w:r>
      <w:r>
        <w:rPr>
          <w:rFonts w:hint="eastAsia" w:ascii="宋体" w:hAnsi="宋体" w:cs="宋体"/>
          <w:kern w:val="0"/>
        </w:rPr>
        <w:t xml:space="preserve">单位公章） </w:t>
      </w:r>
    </w:p>
    <w:p>
      <w:pPr>
        <w:tabs>
          <w:tab w:val="left" w:pos="6300"/>
        </w:tabs>
        <w:autoSpaceDE w:val="0"/>
        <w:autoSpaceDN w:val="0"/>
        <w:adjustRightInd w:val="0"/>
        <w:snapToGrid w:val="0"/>
        <w:spacing w:line="360" w:lineRule="auto"/>
        <w:ind w:firstLine="1680"/>
        <w:jc w:val="left"/>
        <w:rPr>
          <w:rFonts w:ascii="宋体" w:hAnsi="宋体" w:cs="宋体"/>
          <w:kern w:val="0"/>
        </w:rPr>
      </w:pPr>
      <w:r>
        <w:rPr>
          <w:rFonts w:hint="eastAsia" w:ascii="宋体" w:hAnsi="宋体" w:cs="宋体"/>
          <w:kern w:val="0"/>
        </w:rPr>
        <w:t>法定代表人：</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rPr>
        <w:t>（签字）</w:t>
      </w:r>
    </w:p>
    <w:p>
      <w:pPr>
        <w:tabs>
          <w:tab w:val="left" w:pos="5260"/>
        </w:tabs>
        <w:autoSpaceDE w:val="0"/>
        <w:autoSpaceDN w:val="0"/>
        <w:adjustRightInd w:val="0"/>
        <w:snapToGrid w:val="0"/>
        <w:spacing w:line="360" w:lineRule="auto"/>
        <w:ind w:firstLine="1680"/>
        <w:jc w:val="left"/>
        <w:rPr>
          <w:rFonts w:ascii="宋体" w:hAnsi="宋体" w:cs="宋体"/>
          <w:kern w:val="0"/>
        </w:rPr>
      </w:pPr>
      <w:r>
        <w:rPr>
          <w:rFonts w:hint="eastAsia" w:ascii="宋体" w:hAnsi="宋体" w:cs="宋体"/>
          <w:kern w:val="0"/>
        </w:rPr>
        <w:t>身份证号码：</w:t>
      </w:r>
      <w:r>
        <w:rPr>
          <w:rFonts w:hint="eastAsia" w:ascii="宋体" w:hAnsi="宋体" w:cs="宋体"/>
          <w:w w:val="200"/>
          <w:kern w:val="0"/>
          <w:u w:val="single"/>
        </w:rPr>
        <w:t xml:space="preserve">                 </w:t>
      </w:r>
      <w:r>
        <w:rPr>
          <w:rFonts w:hint="eastAsia" w:ascii="宋体" w:hAnsi="宋体" w:cs="宋体"/>
          <w:kern w:val="0"/>
          <w:u w:val="single"/>
        </w:rPr>
        <w:tab/>
      </w:r>
    </w:p>
    <w:p>
      <w:pPr>
        <w:tabs>
          <w:tab w:val="left" w:pos="6720"/>
        </w:tabs>
        <w:autoSpaceDE w:val="0"/>
        <w:autoSpaceDN w:val="0"/>
        <w:adjustRightInd w:val="0"/>
        <w:snapToGrid w:val="0"/>
        <w:spacing w:line="360" w:lineRule="auto"/>
        <w:ind w:firstLine="1680"/>
        <w:jc w:val="left"/>
        <w:rPr>
          <w:rFonts w:ascii="宋体" w:hAnsi="宋体" w:cs="宋体"/>
          <w:kern w:val="0"/>
        </w:rPr>
      </w:pPr>
      <w:r>
        <w:rPr>
          <w:rFonts w:hint="eastAsia" w:ascii="宋体" w:hAnsi="宋体" w:cs="宋体"/>
          <w:kern w:val="0"/>
        </w:rPr>
        <w:t>委托代理人：</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（签</w:t>
      </w:r>
      <w:r>
        <w:rPr>
          <w:rFonts w:hint="eastAsia" w:ascii="宋体" w:hAnsi="宋体" w:cs="宋体"/>
          <w:spacing w:val="-1"/>
          <w:kern w:val="0"/>
        </w:rPr>
        <w:t>字</w:t>
      </w:r>
      <w:r>
        <w:rPr>
          <w:rFonts w:hint="eastAsia" w:ascii="宋体" w:hAnsi="宋体" w:cs="宋体"/>
          <w:kern w:val="0"/>
        </w:rPr>
        <w:t>）</w:t>
      </w:r>
    </w:p>
    <w:p>
      <w:pPr>
        <w:tabs>
          <w:tab w:val="left" w:pos="6825"/>
        </w:tabs>
        <w:autoSpaceDE w:val="0"/>
        <w:autoSpaceDN w:val="0"/>
        <w:adjustRightInd w:val="0"/>
        <w:snapToGrid w:val="0"/>
        <w:spacing w:line="360" w:lineRule="auto"/>
        <w:ind w:firstLine="1680"/>
        <w:jc w:val="left"/>
        <w:rPr>
          <w:rFonts w:ascii="宋体" w:hAnsi="宋体" w:cs="宋体"/>
          <w:kern w:val="0"/>
          <w:u w:val="single"/>
        </w:rPr>
      </w:pPr>
      <w:r>
        <w:rPr>
          <w:rFonts w:hint="eastAsia" w:ascii="宋体" w:hAnsi="宋体" w:cs="宋体"/>
          <w:kern w:val="0"/>
        </w:rPr>
        <w:t>身份证号码：</w:t>
      </w:r>
      <w:r>
        <w:rPr>
          <w:rFonts w:hint="eastAsia" w:ascii="宋体" w:hAnsi="宋体" w:cs="宋体"/>
          <w:w w:val="200"/>
          <w:kern w:val="0"/>
          <w:u w:val="single"/>
        </w:rPr>
        <w:t xml:space="preserve"> </w:t>
      </w:r>
      <w:r>
        <w:rPr>
          <w:rFonts w:hint="eastAsia" w:ascii="宋体" w:hAnsi="宋体" w:cs="宋体"/>
          <w:kern w:val="0"/>
          <w:u w:val="single"/>
        </w:rPr>
        <w:tab/>
      </w:r>
    </w:p>
    <w:p>
      <w:pPr>
        <w:tabs>
          <w:tab w:val="left" w:pos="6825"/>
        </w:tabs>
        <w:autoSpaceDE w:val="0"/>
        <w:autoSpaceDN w:val="0"/>
        <w:adjustRightInd w:val="0"/>
        <w:snapToGrid w:val="0"/>
        <w:spacing w:line="360" w:lineRule="auto"/>
        <w:ind w:firstLine="1680"/>
        <w:jc w:val="left"/>
        <w:rPr>
          <w:rFonts w:ascii="宋体" w:hAnsi="宋体" w:cs="宋体"/>
          <w:kern w:val="0"/>
        </w:rPr>
      </w:pPr>
    </w:p>
    <w:tbl>
      <w:tblPr>
        <w:tblStyle w:val="54"/>
        <w:tblW w:w="8691" w:type="dxa"/>
        <w:tblInd w:w="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5"/>
        <w:gridCol w:w="4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trPr>
        <w:tc>
          <w:tcPr>
            <w:tcW w:w="4305" w:type="dxa"/>
            <w:tcBorders>
              <w:top w:val="single" w:color="auto" w:sz="4" w:space="0"/>
              <w:left w:val="single" w:color="auto" w:sz="4" w:space="0"/>
              <w:bottom w:val="single" w:color="auto" w:sz="4" w:space="0"/>
              <w:right w:val="single" w:color="auto" w:sz="4" w:space="0"/>
            </w:tcBorders>
          </w:tcPr>
          <w:p>
            <w:pPr>
              <w:spacing w:line="520" w:lineRule="exact"/>
              <w:jc w:val="center"/>
              <w:rPr>
                <w:rFonts w:ascii="宋体" w:hAnsi="宋体" w:cs="宋体"/>
                <w:sz w:val="28"/>
              </w:rPr>
            </w:pPr>
            <w:r>
              <w:rPr>
                <w:rFonts w:hint="eastAsia" w:ascii="宋体" w:hAnsi="宋体" w:cs="宋体"/>
                <w:kern w:val="0"/>
              </w:rPr>
              <w:t>附委托代理人身份证</w:t>
            </w:r>
            <w:r>
              <w:rPr>
                <w:rFonts w:hint="eastAsia" w:ascii="宋体" w:hAnsi="宋体"/>
                <w:szCs w:val="21"/>
              </w:rPr>
              <w:t>（第二代）</w:t>
            </w:r>
            <w:r>
              <w:rPr>
                <w:rFonts w:hint="eastAsia" w:ascii="宋体" w:hAnsi="宋体" w:cs="宋体"/>
                <w:kern w:val="0"/>
              </w:rPr>
              <w:t xml:space="preserve">复印件    </w:t>
            </w:r>
            <w:r>
              <w:rPr>
                <w:rFonts w:hint="eastAsia" w:ascii="宋体" w:hAnsi="宋体"/>
                <w:szCs w:val="21"/>
              </w:rPr>
              <w:t>（一面）</w:t>
            </w:r>
          </w:p>
        </w:tc>
        <w:tc>
          <w:tcPr>
            <w:tcW w:w="4386" w:type="dxa"/>
            <w:tcBorders>
              <w:top w:val="single" w:color="auto" w:sz="4" w:space="0"/>
              <w:left w:val="single" w:color="auto" w:sz="4" w:space="0"/>
              <w:bottom w:val="single" w:color="auto" w:sz="4" w:space="0"/>
              <w:right w:val="single" w:color="auto" w:sz="4" w:space="0"/>
            </w:tcBorders>
          </w:tcPr>
          <w:p>
            <w:pPr>
              <w:spacing w:line="520" w:lineRule="exact"/>
              <w:jc w:val="center"/>
              <w:rPr>
                <w:rFonts w:ascii="宋体" w:hAnsi="宋体" w:cs="宋体"/>
                <w:sz w:val="28"/>
              </w:rPr>
            </w:pPr>
            <w:r>
              <w:rPr>
                <w:rFonts w:hint="eastAsia" w:ascii="宋体" w:hAnsi="宋体" w:cs="宋体"/>
                <w:kern w:val="0"/>
              </w:rPr>
              <w:t>附委托代理人身份证</w:t>
            </w:r>
            <w:r>
              <w:rPr>
                <w:rFonts w:hint="eastAsia" w:ascii="宋体" w:hAnsi="宋体"/>
                <w:szCs w:val="21"/>
              </w:rPr>
              <w:t>（第二代）</w:t>
            </w:r>
            <w:r>
              <w:rPr>
                <w:rFonts w:hint="eastAsia" w:ascii="宋体" w:hAnsi="宋体" w:cs="宋体"/>
                <w:kern w:val="0"/>
              </w:rPr>
              <w:t xml:space="preserve">复印件      </w:t>
            </w:r>
            <w:r>
              <w:rPr>
                <w:rFonts w:hint="eastAsia" w:ascii="宋体" w:hAnsi="宋体"/>
                <w:szCs w:val="21"/>
              </w:rPr>
              <w:t>（另一面）</w:t>
            </w:r>
          </w:p>
          <w:p>
            <w:pPr>
              <w:spacing w:line="520" w:lineRule="exact"/>
              <w:jc w:val="center"/>
              <w:rPr>
                <w:rFonts w:ascii="宋体" w:hAnsi="宋体" w:cs="宋体"/>
                <w:sz w:val="28"/>
              </w:rPr>
            </w:pPr>
          </w:p>
        </w:tc>
      </w:tr>
    </w:tbl>
    <w:p>
      <w:pPr>
        <w:autoSpaceDE w:val="0"/>
        <w:autoSpaceDN w:val="0"/>
        <w:adjustRightInd w:val="0"/>
        <w:snapToGrid w:val="0"/>
        <w:spacing w:line="360" w:lineRule="auto"/>
        <w:jc w:val="left"/>
        <w:rPr>
          <w:rFonts w:ascii="宋体" w:hAnsi="宋体" w:cs="宋体"/>
          <w:kern w:val="0"/>
        </w:rPr>
      </w:pPr>
    </w:p>
    <w:p>
      <w:pPr>
        <w:tabs>
          <w:tab w:val="left" w:pos="4005"/>
          <w:tab w:val="left" w:pos="4100"/>
          <w:tab w:val="left" w:pos="5040"/>
        </w:tabs>
        <w:autoSpaceDE w:val="0"/>
        <w:autoSpaceDN w:val="0"/>
        <w:adjustRightInd w:val="0"/>
        <w:snapToGrid w:val="0"/>
        <w:spacing w:line="360" w:lineRule="auto"/>
        <w:ind w:firstLine="3780"/>
        <w:jc w:val="left"/>
        <w:rPr>
          <w:rFonts w:ascii="宋体" w:hAnsi="宋体" w:cs="宋体"/>
          <w:kern w:val="0"/>
        </w:rPr>
      </w:pP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年</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月</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日</w:t>
      </w:r>
    </w:p>
    <w:p>
      <w:pPr>
        <w:autoSpaceDE w:val="0"/>
        <w:autoSpaceDN w:val="0"/>
        <w:adjustRightInd w:val="0"/>
        <w:snapToGrid w:val="0"/>
        <w:spacing w:line="360" w:lineRule="auto"/>
        <w:jc w:val="left"/>
        <w:rPr>
          <w:rFonts w:ascii="宋体" w:hAnsi="宋体" w:cs="宋体"/>
          <w:kern w:val="0"/>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203200</wp:posOffset>
                </wp:positionV>
                <wp:extent cx="2867025" cy="0"/>
                <wp:effectExtent l="0" t="0" r="0" b="0"/>
                <wp:wrapNone/>
                <wp:docPr id="1" name="Line 2"/>
                <wp:cNvGraphicFramePr/>
                <a:graphic xmlns:a="http://schemas.openxmlformats.org/drawingml/2006/main">
                  <a:graphicData uri="http://schemas.microsoft.com/office/word/2010/wordprocessingShape">
                    <wps:wsp>
                      <wps:cNvCnPr/>
                      <wps:spPr>
                        <a:xfrm>
                          <a:off x="0" y="0"/>
                          <a:ext cx="2867025"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Line 2" o:spid="_x0000_s1026" o:spt="20" style="position:absolute;left:0pt;margin-left:0pt;margin-top:16pt;height:0pt;width:225.75pt;z-index:251659264;mso-width-relative:page;mso-height-relative:page;" filled="f" stroked="t" coordsize="21600,21600" o:gfxdata="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W3are1gAAAAYBAAAPAAAAAAAAAAEAIAAAACIA&#10;AABkcnMvZG93bnJldi54bWxQSwECFAAUAAAACACHTuJAqQV4ZdIBAADNAwAADgAAAAAAAAABACAA&#10;AAAlAQAAZHJzL2Uyb0RvYy54bWxQSwUGAAAAAAYABgBZAQAAaQUAAAAA&#10;">
                <v:fill on="f" focussize="0,0"/>
                <v:stroke weight="0.25pt" color="#000000" joinstyle="round"/>
                <v:imagedata o:title=""/>
                <o:lock v:ext="edit" aspectratio="f"/>
              </v:line>
            </w:pict>
          </mc:Fallback>
        </mc:AlternateContent>
      </w:r>
    </w:p>
    <w:p>
      <w:pPr>
        <w:tabs>
          <w:tab w:val="left" w:pos="5760"/>
        </w:tabs>
        <w:autoSpaceDE w:val="0"/>
        <w:autoSpaceDN w:val="0"/>
        <w:adjustRightInd w:val="0"/>
        <w:spacing w:line="300" w:lineRule="exact"/>
        <w:ind w:left="735" w:right="11" w:hanging="735" w:hangingChars="350"/>
        <w:rPr>
          <w:rFonts w:ascii="宋体" w:hAnsi="宋体" w:cs="宋体"/>
          <w:kern w:val="0"/>
        </w:rPr>
      </w:pPr>
      <w:r>
        <w:rPr>
          <w:rFonts w:hint="eastAsia" w:ascii="宋体" w:hAnsi="宋体" w:cs="宋体"/>
          <w:kern w:val="0"/>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300" w:lineRule="exact"/>
        <w:ind w:left="762" w:leftChars="213" w:right="11" w:hanging="315" w:hangingChars="150"/>
        <w:rPr>
          <w:rFonts w:ascii="宋体" w:hAnsi="宋体" w:cs="宋体"/>
          <w:kern w:val="0"/>
        </w:rPr>
      </w:pPr>
      <w:r>
        <w:rPr>
          <w:rFonts w:hint="eastAsia" w:ascii="宋体" w:hAnsi="宋体" w:cs="宋体"/>
          <w:kern w:val="0"/>
        </w:rPr>
        <w:t>2、法定代表人身份证明及授权委托书原件装入投标文件一并递交。另外须准备一份在开标现场出具，否则将现场退还其投标文件。</w:t>
      </w:r>
    </w:p>
    <w:p>
      <w:pPr>
        <w:jc w:val="center"/>
        <w:rPr>
          <w:rFonts w:ascii="宋体"/>
          <w:w w:val="99"/>
          <w:kern w:val="0"/>
          <w:sz w:val="28"/>
          <w:szCs w:val="28"/>
        </w:rPr>
      </w:pPr>
      <w:bookmarkStart w:id="1362" w:name="_Toc445733402"/>
      <w:r>
        <w:rPr>
          <w:rFonts w:ascii="宋体" w:hAnsi="宋体"/>
          <w:sz w:val="28"/>
        </w:rPr>
        <w:br w:type="page"/>
      </w:r>
      <w:bookmarkEnd w:id="1352"/>
      <w:bookmarkEnd w:id="1353"/>
      <w:bookmarkEnd w:id="1354"/>
      <w:bookmarkEnd w:id="1355"/>
      <w:bookmarkEnd w:id="1357"/>
      <w:bookmarkEnd w:id="1358"/>
      <w:bookmarkEnd w:id="1359"/>
      <w:bookmarkEnd w:id="1360"/>
      <w:bookmarkEnd w:id="1361"/>
      <w:bookmarkEnd w:id="1362"/>
    </w:p>
    <w:p>
      <w:pPr>
        <w:spacing w:line="540" w:lineRule="exact"/>
        <w:jc w:val="center"/>
        <w:outlineLvl w:val="0"/>
        <w:rPr>
          <w:rFonts w:ascii="宋体" w:hAnsi="宋体" w:cs="宋体"/>
          <w:b/>
          <w:bCs/>
          <w:sz w:val="36"/>
          <w:szCs w:val="36"/>
        </w:rPr>
      </w:pPr>
      <w:bookmarkStart w:id="1363" w:name="_Toc460945903"/>
      <w:bookmarkStart w:id="1364" w:name="_Toc6132"/>
      <w:bookmarkStart w:id="1365" w:name="_Toc437509478"/>
      <w:bookmarkStart w:id="1366" w:name="_Toc431407275"/>
    </w:p>
    <w:p>
      <w:pPr>
        <w:pStyle w:val="15"/>
        <w:tabs>
          <w:tab w:val="left" w:pos="315"/>
        </w:tabs>
        <w:spacing w:before="156" w:beforeLines="50" w:line="500" w:lineRule="exact"/>
        <w:ind w:firstLineChars="200"/>
        <w:rPr>
          <w:rFonts w:ascii="宋体" w:hAnsi="宋体"/>
        </w:rPr>
      </w:pPr>
      <w:r>
        <w:rPr>
          <w:rFonts w:hint="eastAsia" w:ascii="宋体" w:hAnsi="宋体"/>
          <w:snapToGrid w:val="0"/>
          <w:kern w:val="0"/>
          <w:sz w:val="32"/>
          <w:szCs w:val="32"/>
        </w:rPr>
        <w:t>（</w:t>
      </w:r>
      <w:r>
        <w:rPr>
          <w:rFonts w:hint="eastAsia" w:ascii="宋体" w:hAnsi="宋体"/>
          <w:snapToGrid w:val="0"/>
          <w:kern w:val="0"/>
          <w:sz w:val="32"/>
          <w:szCs w:val="32"/>
          <w:lang w:eastAsia="zh-CN"/>
        </w:rPr>
        <w:t>四</w:t>
      </w:r>
      <w:r>
        <w:rPr>
          <w:rFonts w:hint="eastAsia" w:ascii="宋体" w:hAnsi="宋体"/>
          <w:snapToGrid w:val="0"/>
          <w:kern w:val="0"/>
          <w:sz w:val="32"/>
          <w:szCs w:val="32"/>
        </w:rPr>
        <w:t>）投标保证金（适用于投标保证金采用现金转账形式的）</w:t>
      </w:r>
    </w:p>
    <w:p>
      <w:pPr>
        <w:autoSpaceDE w:val="0"/>
        <w:autoSpaceDN w:val="0"/>
        <w:adjustRightInd w:val="0"/>
        <w:snapToGrid w:val="0"/>
        <w:spacing w:line="360" w:lineRule="auto"/>
        <w:ind w:firstLine="1549" w:firstLineChars="738"/>
        <w:rPr>
          <w:rFonts w:ascii="宋体" w:hAnsi="宋体"/>
        </w:rPr>
      </w:pPr>
    </w:p>
    <w:p>
      <w:pPr>
        <w:spacing w:line="540" w:lineRule="exact"/>
        <w:jc w:val="center"/>
        <w:outlineLvl w:val="0"/>
        <w:rPr>
          <w:rFonts w:hint="eastAsia" w:ascii="宋体" w:hAnsi="宋体" w:cs="MingLiUfalt"/>
          <w:kern w:val="0"/>
          <w:sz w:val="28"/>
          <w:szCs w:val="28"/>
        </w:rPr>
      </w:pPr>
      <w:bookmarkStart w:id="1367" w:name="_Toc27004_WPSOffice_Level1"/>
      <w:r>
        <w:rPr>
          <w:rFonts w:hint="eastAsia" w:ascii="宋体" w:hAnsi="宋体" w:cs="MingLiUfalt"/>
          <w:kern w:val="0"/>
          <w:sz w:val="28"/>
          <w:szCs w:val="28"/>
        </w:rPr>
        <w:t>（附：企业基本账户开户许可证明文件复印件、投标保证金银行进账单复印件）</w:t>
      </w:r>
      <w:bookmarkEnd w:id="1367"/>
    </w:p>
    <w:p>
      <w:pPr>
        <w:spacing w:line="540" w:lineRule="exact"/>
        <w:jc w:val="center"/>
        <w:outlineLvl w:val="0"/>
        <w:rPr>
          <w:rFonts w:hint="eastAsia" w:ascii="宋体" w:hAnsi="宋体" w:cs="MingLiUfalt"/>
          <w:kern w:val="0"/>
          <w:sz w:val="28"/>
          <w:szCs w:val="28"/>
        </w:rPr>
      </w:pPr>
    </w:p>
    <w:p>
      <w:pPr>
        <w:spacing w:line="540" w:lineRule="exact"/>
        <w:jc w:val="center"/>
        <w:outlineLvl w:val="0"/>
        <w:rPr>
          <w:rFonts w:hint="eastAsia" w:ascii="宋体" w:hAnsi="宋体" w:cs="MingLiUfalt"/>
          <w:kern w:val="0"/>
          <w:sz w:val="28"/>
          <w:szCs w:val="28"/>
        </w:rPr>
      </w:pPr>
    </w:p>
    <w:p>
      <w:pPr>
        <w:spacing w:line="540" w:lineRule="exact"/>
        <w:jc w:val="center"/>
        <w:outlineLvl w:val="0"/>
        <w:rPr>
          <w:rFonts w:hint="eastAsia" w:ascii="宋体" w:hAnsi="宋体" w:cs="MingLiUfalt"/>
          <w:kern w:val="0"/>
          <w:sz w:val="28"/>
          <w:szCs w:val="28"/>
        </w:rPr>
      </w:pPr>
    </w:p>
    <w:p>
      <w:pPr>
        <w:spacing w:line="540" w:lineRule="exact"/>
        <w:jc w:val="center"/>
        <w:outlineLvl w:val="0"/>
        <w:rPr>
          <w:rFonts w:hint="eastAsia" w:ascii="宋体" w:hAnsi="宋体" w:cs="MingLiUfalt"/>
          <w:kern w:val="0"/>
          <w:sz w:val="28"/>
          <w:szCs w:val="28"/>
        </w:rPr>
      </w:pPr>
    </w:p>
    <w:p>
      <w:pPr>
        <w:spacing w:line="540" w:lineRule="exact"/>
        <w:jc w:val="center"/>
        <w:outlineLvl w:val="0"/>
        <w:rPr>
          <w:rFonts w:hint="eastAsia" w:ascii="宋体" w:hAnsi="宋体" w:cs="MingLiUfalt"/>
          <w:kern w:val="0"/>
          <w:sz w:val="28"/>
          <w:szCs w:val="28"/>
        </w:rPr>
      </w:pPr>
    </w:p>
    <w:p>
      <w:pPr>
        <w:spacing w:line="540" w:lineRule="exact"/>
        <w:jc w:val="center"/>
        <w:outlineLvl w:val="0"/>
        <w:rPr>
          <w:rFonts w:hint="eastAsia" w:ascii="宋体" w:hAnsi="宋体" w:cs="MingLiUfalt"/>
          <w:kern w:val="0"/>
          <w:sz w:val="28"/>
          <w:szCs w:val="28"/>
        </w:rPr>
      </w:pPr>
    </w:p>
    <w:p>
      <w:pPr>
        <w:spacing w:line="540" w:lineRule="exact"/>
        <w:jc w:val="center"/>
        <w:outlineLvl w:val="0"/>
        <w:rPr>
          <w:rFonts w:hint="eastAsia" w:ascii="宋体" w:hAnsi="宋体" w:cs="MingLiUfalt"/>
          <w:kern w:val="0"/>
          <w:sz w:val="28"/>
          <w:szCs w:val="28"/>
        </w:rPr>
      </w:pPr>
    </w:p>
    <w:p>
      <w:pPr>
        <w:spacing w:line="540" w:lineRule="exact"/>
        <w:jc w:val="center"/>
        <w:outlineLvl w:val="0"/>
        <w:rPr>
          <w:rFonts w:hint="eastAsia" w:ascii="宋体" w:hAnsi="宋体" w:cs="MingLiUfalt"/>
          <w:kern w:val="0"/>
          <w:sz w:val="28"/>
          <w:szCs w:val="28"/>
        </w:rPr>
      </w:pPr>
    </w:p>
    <w:p>
      <w:pPr>
        <w:spacing w:line="540" w:lineRule="exact"/>
        <w:jc w:val="center"/>
        <w:outlineLvl w:val="0"/>
        <w:rPr>
          <w:rFonts w:hint="eastAsia" w:ascii="宋体" w:hAnsi="宋体" w:cs="MingLiUfalt"/>
          <w:kern w:val="0"/>
          <w:sz w:val="28"/>
          <w:szCs w:val="28"/>
        </w:rPr>
      </w:pPr>
    </w:p>
    <w:p>
      <w:pPr>
        <w:spacing w:line="540" w:lineRule="exact"/>
        <w:jc w:val="center"/>
        <w:outlineLvl w:val="0"/>
        <w:rPr>
          <w:rFonts w:hint="eastAsia" w:ascii="宋体" w:hAnsi="宋体" w:cs="MingLiUfalt"/>
          <w:kern w:val="0"/>
          <w:sz w:val="28"/>
          <w:szCs w:val="28"/>
        </w:rPr>
      </w:pPr>
    </w:p>
    <w:p>
      <w:pPr>
        <w:spacing w:line="540" w:lineRule="exact"/>
        <w:jc w:val="center"/>
        <w:outlineLvl w:val="0"/>
        <w:rPr>
          <w:rFonts w:hint="eastAsia" w:ascii="宋体" w:hAnsi="宋体" w:cs="MingLiUfalt"/>
          <w:kern w:val="0"/>
          <w:sz w:val="28"/>
          <w:szCs w:val="28"/>
        </w:rPr>
      </w:pPr>
    </w:p>
    <w:p>
      <w:pPr>
        <w:spacing w:line="540" w:lineRule="exact"/>
        <w:jc w:val="center"/>
        <w:outlineLvl w:val="0"/>
        <w:rPr>
          <w:rFonts w:hint="eastAsia" w:ascii="宋体" w:hAnsi="宋体" w:cs="MingLiUfalt"/>
          <w:kern w:val="0"/>
          <w:sz w:val="28"/>
          <w:szCs w:val="28"/>
        </w:rPr>
      </w:pPr>
    </w:p>
    <w:p>
      <w:pPr>
        <w:spacing w:line="540" w:lineRule="exact"/>
        <w:jc w:val="center"/>
        <w:outlineLvl w:val="0"/>
        <w:rPr>
          <w:rFonts w:hint="eastAsia" w:ascii="宋体" w:hAnsi="宋体" w:cs="MingLiUfalt"/>
          <w:kern w:val="0"/>
          <w:sz w:val="28"/>
          <w:szCs w:val="28"/>
        </w:rPr>
      </w:pPr>
    </w:p>
    <w:p>
      <w:pPr>
        <w:spacing w:line="540" w:lineRule="exact"/>
        <w:jc w:val="center"/>
        <w:outlineLvl w:val="0"/>
        <w:rPr>
          <w:rFonts w:hint="eastAsia" w:ascii="宋体" w:hAnsi="宋体" w:cs="MingLiUfalt"/>
          <w:kern w:val="0"/>
          <w:sz w:val="28"/>
          <w:szCs w:val="28"/>
        </w:rPr>
      </w:pPr>
    </w:p>
    <w:p>
      <w:pPr>
        <w:spacing w:line="540" w:lineRule="exact"/>
        <w:jc w:val="center"/>
        <w:outlineLvl w:val="0"/>
        <w:rPr>
          <w:rFonts w:hint="eastAsia" w:ascii="宋体" w:hAnsi="宋体" w:cs="MingLiUfalt"/>
          <w:kern w:val="0"/>
          <w:sz w:val="28"/>
          <w:szCs w:val="28"/>
        </w:rPr>
      </w:pPr>
    </w:p>
    <w:p>
      <w:pPr>
        <w:spacing w:line="540" w:lineRule="exact"/>
        <w:jc w:val="center"/>
        <w:outlineLvl w:val="0"/>
        <w:rPr>
          <w:rFonts w:hint="eastAsia" w:ascii="宋体" w:hAnsi="宋体" w:cs="MingLiUfalt"/>
          <w:kern w:val="0"/>
          <w:sz w:val="28"/>
          <w:szCs w:val="28"/>
        </w:rPr>
      </w:pPr>
    </w:p>
    <w:p>
      <w:pPr>
        <w:spacing w:line="540" w:lineRule="exact"/>
        <w:jc w:val="center"/>
        <w:outlineLvl w:val="0"/>
        <w:rPr>
          <w:rFonts w:hint="eastAsia" w:ascii="宋体" w:hAnsi="宋体" w:cs="MingLiUfalt"/>
          <w:kern w:val="0"/>
          <w:sz w:val="28"/>
          <w:szCs w:val="28"/>
        </w:rPr>
      </w:pPr>
    </w:p>
    <w:p>
      <w:pPr>
        <w:spacing w:line="540" w:lineRule="exact"/>
        <w:jc w:val="center"/>
        <w:outlineLvl w:val="0"/>
        <w:rPr>
          <w:rFonts w:hint="eastAsia" w:ascii="宋体" w:hAnsi="宋体" w:cs="MingLiUfalt"/>
          <w:kern w:val="0"/>
          <w:sz w:val="28"/>
          <w:szCs w:val="28"/>
        </w:rPr>
      </w:pPr>
    </w:p>
    <w:p>
      <w:pPr>
        <w:spacing w:line="540" w:lineRule="exact"/>
        <w:jc w:val="center"/>
        <w:outlineLvl w:val="0"/>
        <w:rPr>
          <w:rFonts w:hint="eastAsia" w:ascii="宋体" w:hAnsi="宋体" w:cs="MingLiUfalt"/>
          <w:kern w:val="0"/>
          <w:sz w:val="28"/>
          <w:szCs w:val="28"/>
        </w:rPr>
      </w:pPr>
    </w:p>
    <w:p>
      <w:pPr>
        <w:spacing w:line="540" w:lineRule="exact"/>
        <w:jc w:val="center"/>
        <w:outlineLvl w:val="0"/>
        <w:rPr>
          <w:rFonts w:hint="eastAsia" w:ascii="宋体" w:hAnsi="宋体" w:cs="MingLiUfalt"/>
          <w:kern w:val="0"/>
          <w:sz w:val="28"/>
          <w:szCs w:val="28"/>
        </w:rPr>
      </w:pPr>
    </w:p>
    <w:p>
      <w:pPr>
        <w:spacing w:line="540" w:lineRule="exact"/>
        <w:jc w:val="center"/>
        <w:outlineLvl w:val="0"/>
        <w:rPr>
          <w:rFonts w:hint="eastAsia" w:ascii="宋体" w:hAnsi="宋体" w:cs="MingLiUfalt"/>
          <w:kern w:val="0"/>
          <w:sz w:val="28"/>
          <w:szCs w:val="28"/>
        </w:rPr>
      </w:pPr>
    </w:p>
    <w:p>
      <w:pPr>
        <w:spacing w:line="540" w:lineRule="exact"/>
        <w:jc w:val="center"/>
        <w:outlineLvl w:val="0"/>
        <w:rPr>
          <w:rFonts w:hint="eastAsia" w:ascii="宋体" w:hAnsi="宋体" w:cs="MingLiUfalt"/>
          <w:kern w:val="0"/>
          <w:sz w:val="28"/>
          <w:szCs w:val="28"/>
        </w:rPr>
      </w:pPr>
    </w:p>
    <w:p>
      <w:pPr>
        <w:spacing w:line="540" w:lineRule="exact"/>
        <w:jc w:val="center"/>
        <w:outlineLvl w:val="0"/>
        <w:rPr>
          <w:rFonts w:ascii="宋体" w:hAnsi="宋体" w:cs="宋体"/>
          <w:b/>
          <w:bCs/>
          <w:sz w:val="36"/>
          <w:szCs w:val="36"/>
        </w:rPr>
      </w:pPr>
      <w:r>
        <w:rPr>
          <w:rFonts w:hint="eastAsia" w:ascii="宋体" w:hAnsi="宋体" w:cs="宋体"/>
          <w:b/>
          <w:bCs/>
          <w:sz w:val="36"/>
          <w:szCs w:val="36"/>
          <w:lang w:eastAsia="zh-CN"/>
        </w:rPr>
        <w:t>三</w:t>
      </w:r>
      <w:r>
        <w:rPr>
          <w:rFonts w:hint="eastAsia" w:ascii="宋体" w:hAnsi="宋体" w:cs="宋体"/>
          <w:b/>
          <w:bCs/>
          <w:sz w:val="36"/>
          <w:szCs w:val="36"/>
        </w:rPr>
        <w:t>、商务部分</w:t>
      </w:r>
      <w:bookmarkEnd w:id="1363"/>
    </w:p>
    <w:bookmarkEnd w:id="1364"/>
    <w:bookmarkEnd w:id="1365"/>
    <w:bookmarkEnd w:id="1366"/>
    <w:p>
      <w:pPr>
        <w:rPr>
          <w:rFonts w:ascii="宋体"/>
          <w:kern w:val="0"/>
        </w:rPr>
      </w:pPr>
    </w:p>
    <w:p>
      <w:pPr>
        <w:tabs>
          <w:tab w:val="left" w:pos="3395"/>
          <w:tab w:val="left" w:pos="5940"/>
        </w:tabs>
        <w:wordWrap w:val="0"/>
        <w:autoSpaceDE w:val="0"/>
        <w:autoSpaceDN w:val="0"/>
        <w:adjustRightInd w:val="0"/>
        <w:snapToGrid w:val="0"/>
        <w:spacing w:line="360" w:lineRule="auto"/>
        <w:jc w:val="left"/>
        <w:rPr>
          <w:rFonts w:ascii="宋体"/>
          <w:kern w:val="0"/>
          <w:sz w:val="28"/>
          <w:szCs w:val="28"/>
          <w:u w:val="single"/>
        </w:rPr>
      </w:pPr>
      <w:r>
        <w:rPr>
          <w:rFonts w:ascii="宋体" w:hAnsi="宋体" w:cs="宋体"/>
          <w:sz w:val="28"/>
          <w:szCs w:val="28"/>
        </w:rPr>
        <w:br w:type="page"/>
      </w:r>
    </w:p>
    <w:p>
      <w:pPr>
        <w:tabs>
          <w:tab w:val="left" w:pos="5285"/>
          <w:tab w:val="left" w:pos="5940"/>
        </w:tabs>
        <w:wordWrap w:val="0"/>
        <w:autoSpaceDE w:val="0"/>
        <w:autoSpaceDN w:val="0"/>
        <w:adjustRightInd w:val="0"/>
        <w:snapToGrid w:val="0"/>
        <w:spacing w:line="360" w:lineRule="auto"/>
        <w:ind w:firstLine="980" w:firstLineChars="350"/>
        <w:jc w:val="left"/>
        <w:rPr>
          <w:rFonts w:ascii="宋体"/>
          <w:kern w:val="0"/>
          <w:sz w:val="28"/>
          <w:szCs w:val="28"/>
        </w:rPr>
      </w:pPr>
      <w:r>
        <w:rPr>
          <w:rFonts w:ascii="宋体"/>
          <w:kern w:val="0"/>
          <w:sz w:val="28"/>
          <w:szCs w:val="28"/>
          <w:u w:val="single"/>
        </w:rPr>
        <w:tab/>
      </w:r>
      <w:r>
        <w:rPr>
          <w:rFonts w:hint="eastAsia" w:ascii="宋体" w:hAnsi="宋体" w:cs="宋体"/>
          <w:w w:val="99"/>
          <w:kern w:val="0"/>
          <w:sz w:val="28"/>
          <w:szCs w:val="28"/>
        </w:rPr>
        <w:t>（项目名称</w:t>
      </w:r>
      <w:r>
        <w:rPr>
          <w:rFonts w:hint="eastAsia" w:ascii="宋体" w:hAnsi="宋体" w:cs="宋体"/>
          <w:spacing w:val="1"/>
          <w:w w:val="99"/>
          <w:kern w:val="0"/>
          <w:sz w:val="28"/>
          <w:szCs w:val="28"/>
        </w:rPr>
        <w:t>）</w:t>
      </w:r>
      <w:r>
        <w:rPr>
          <w:rFonts w:hint="eastAsia" w:ascii="宋体" w:hAnsi="宋体" w:cs="宋体"/>
          <w:w w:val="99"/>
          <w:kern w:val="0"/>
          <w:sz w:val="28"/>
          <w:szCs w:val="28"/>
        </w:rPr>
        <w:t>施工比选</w:t>
      </w:r>
    </w:p>
    <w:p>
      <w:pPr>
        <w:tabs>
          <w:tab w:val="left" w:pos="3600"/>
          <w:tab w:val="left" w:pos="4480"/>
          <w:tab w:val="left" w:pos="5360"/>
        </w:tabs>
        <w:wordWrap w:val="0"/>
        <w:autoSpaceDE w:val="0"/>
        <w:autoSpaceDN w:val="0"/>
        <w:adjustRightInd w:val="0"/>
        <w:snapToGrid w:val="0"/>
        <w:spacing w:line="360" w:lineRule="auto"/>
        <w:jc w:val="left"/>
        <w:rPr>
          <w:rFonts w:ascii="宋体"/>
          <w:kern w:val="0"/>
          <w:sz w:val="44"/>
          <w:szCs w:val="44"/>
        </w:rPr>
      </w:pPr>
    </w:p>
    <w:p>
      <w:pPr>
        <w:tabs>
          <w:tab w:val="left" w:pos="3600"/>
          <w:tab w:val="left" w:pos="4480"/>
          <w:tab w:val="left" w:pos="5360"/>
        </w:tabs>
        <w:wordWrap w:val="0"/>
        <w:autoSpaceDE w:val="0"/>
        <w:autoSpaceDN w:val="0"/>
        <w:adjustRightInd w:val="0"/>
        <w:snapToGrid w:val="0"/>
        <w:spacing w:line="360" w:lineRule="auto"/>
        <w:jc w:val="left"/>
        <w:rPr>
          <w:rFonts w:ascii="宋体"/>
          <w:kern w:val="0"/>
          <w:sz w:val="44"/>
          <w:szCs w:val="44"/>
        </w:rPr>
      </w:pPr>
    </w:p>
    <w:p>
      <w:pPr>
        <w:tabs>
          <w:tab w:val="left" w:pos="3600"/>
          <w:tab w:val="left" w:pos="4480"/>
          <w:tab w:val="left" w:pos="5360"/>
        </w:tabs>
        <w:wordWrap w:val="0"/>
        <w:autoSpaceDE w:val="0"/>
        <w:autoSpaceDN w:val="0"/>
        <w:adjustRightInd w:val="0"/>
        <w:snapToGrid w:val="0"/>
        <w:spacing w:line="360" w:lineRule="auto"/>
        <w:jc w:val="center"/>
        <w:rPr>
          <w:rFonts w:ascii="宋体"/>
          <w:kern w:val="0"/>
          <w:sz w:val="84"/>
          <w:szCs w:val="84"/>
        </w:rPr>
      </w:pPr>
      <w:r>
        <w:rPr>
          <w:rFonts w:hint="eastAsia" w:ascii="宋体" w:hAnsi="宋体" w:cs="宋体"/>
          <w:kern w:val="0"/>
          <w:sz w:val="84"/>
          <w:szCs w:val="84"/>
        </w:rPr>
        <w:t>投</w:t>
      </w:r>
      <w:r>
        <w:rPr>
          <w:rFonts w:ascii="宋体" w:hAnsi="宋体" w:cs="宋体"/>
          <w:kern w:val="0"/>
          <w:sz w:val="84"/>
          <w:szCs w:val="84"/>
        </w:rPr>
        <w:t xml:space="preserve">  </w:t>
      </w:r>
      <w:r>
        <w:rPr>
          <w:rFonts w:hint="eastAsia" w:ascii="宋体" w:hAnsi="宋体" w:cs="宋体"/>
          <w:kern w:val="0"/>
          <w:sz w:val="84"/>
          <w:szCs w:val="84"/>
        </w:rPr>
        <w:t>标</w:t>
      </w:r>
      <w:r>
        <w:rPr>
          <w:rFonts w:ascii="宋体" w:hAnsi="宋体" w:cs="宋体"/>
          <w:kern w:val="0"/>
          <w:sz w:val="84"/>
          <w:szCs w:val="84"/>
        </w:rPr>
        <w:t xml:space="preserve">  </w:t>
      </w:r>
      <w:r>
        <w:rPr>
          <w:rFonts w:hint="eastAsia" w:ascii="宋体" w:hAnsi="宋体" w:cs="宋体"/>
          <w:kern w:val="0"/>
          <w:sz w:val="84"/>
          <w:szCs w:val="84"/>
        </w:rPr>
        <w:t>文</w:t>
      </w:r>
      <w:r>
        <w:rPr>
          <w:rFonts w:ascii="宋体" w:hAnsi="宋体" w:cs="宋体"/>
          <w:kern w:val="0"/>
          <w:sz w:val="84"/>
          <w:szCs w:val="84"/>
        </w:rPr>
        <w:t xml:space="preserve">  </w:t>
      </w:r>
      <w:r>
        <w:rPr>
          <w:rFonts w:hint="eastAsia" w:ascii="宋体" w:hAnsi="宋体" w:cs="宋体"/>
          <w:kern w:val="0"/>
          <w:sz w:val="84"/>
          <w:szCs w:val="84"/>
        </w:rPr>
        <w:t>件</w:t>
      </w:r>
    </w:p>
    <w:p>
      <w:pPr>
        <w:wordWrap w:val="0"/>
        <w:autoSpaceDE w:val="0"/>
        <w:autoSpaceDN w:val="0"/>
        <w:adjustRightInd w:val="0"/>
        <w:snapToGrid w:val="0"/>
        <w:spacing w:line="360" w:lineRule="auto"/>
        <w:jc w:val="left"/>
        <w:rPr>
          <w:rFonts w:ascii="宋体"/>
          <w:kern w:val="0"/>
          <w:sz w:val="16"/>
          <w:szCs w:val="16"/>
        </w:rPr>
      </w:pPr>
    </w:p>
    <w:p>
      <w:pPr>
        <w:wordWrap w:val="0"/>
        <w:autoSpaceDE w:val="0"/>
        <w:autoSpaceDN w:val="0"/>
        <w:adjustRightInd w:val="0"/>
        <w:snapToGrid w:val="0"/>
        <w:spacing w:line="360" w:lineRule="auto"/>
        <w:jc w:val="center"/>
        <w:rPr>
          <w:rFonts w:ascii="宋体"/>
          <w:kern w:val="0"/>
          <w:sz w:val="36"/>
          <w:szCs w:val="36"/>
        </w:rPr>
      </w:pPr>
      <w:r>
        <w:rPr>
          <w:rFonts w:hint="eastAsia" w:ascii="宋体" w:hAnsi="宋体" w:cs="宋体"/>
          <w:kern w:val="0"/>
          <w:sz w:val="36"/>
          <w:szCs w:val="36"/>
        </w:rPr>
        <w:t>商务部分</w:t>
      </w: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tabs>
          <w:tab w:val="left" w:pos="6080"/>
          <w:tab w:val="left" w:pos="6640"/>
        </w:tabs>
        <w:wordWrap w:val="0"/>
        <w:autoSpaceDE w:val="0"/>
        <w:autoSpaceDN w:val="0"/>
        <w:adjustRightInd w:val="0"/>
        <w:snapToGrid w:val="0"/>
        <w:spacing w:line="360" w:lineRule="auto"/>
        <w:jc w:val="center"/>
        <w:rPr>
          <w:rFonts w:ascii="宋体"/>
          <w:w w:val="99"/>
          <w:kern w:val="0"/>
          <w:sz w:val="28"/>
          <w:szCs w:val="28"/>
        </w:rPr>
      </w:pPr>
      <w:r>
        <w:rPr>
          <w:rFonts w:hint="eastAsia" w:ascii="宋体" w:hAnsi="宋体" w:cs="宋体"/>
          <w:w w:val="99"/>
          <w:kern w:val="0"/>
          <w:sz w:val="28"/>
          <w:szCs w:val="28"/>
        </w:rPr>
        <w:t>投标人</w:t>
      </w:r>
      <w:r>
        <w:rPr>
          <w:rFonts w:hint="eastAsia" w:ascii="宋体" w:hAnsi="宋体" w:cs="宋体"/>
          <w:spacing w:val="1"/>
          <w:w w:val="99"/>
          <w:kern w:val="0"/>
          <w:sz w:val="28"/>
          <w:szCs w:val="28"/>
        </w:rPr>
        <w:t>：</w:t>
      </w:r>
      <w:r>
        <w:rPr>
          <w:rFonts w:hint="eastAsia" w:ascii="宋体" w:hAnsi="宋体" w:cs="宋体"/>
          <w:w w:val="198"/>
          <w:kern w:val="0"/>
          <w:sz w:val="28"/>
          <w:szCs w:val="28"/>
          <w:u w:val="single"/>
        </w:rPr>
        <w:t xml:space="preserve">            </w:t>
      </w:r>
      <w:r>
        <w:rPr>
          <w:rFonts w:ascii="宋体" w:hAnsi="宋体" w:cs="宋体"/>
          <w:w w:val="198"/>
          <w:kern w:val="0"/>
          <w:sz w:val="28"/>
          <w:szCs w:val="28"/>
          <w:u w:val="single"/>
        </w:rPr>
        <w:t xml:space="preserve"> </w:t>
      </w:r>
      <w:r>
        <w:rPr>
          <w:rFonts w:hint="eastAsia" w:ascii="宋体" w:hAnsi="宋体" w:cs="宋体"/>
          <w:w w:val="198"/>
          <w:kern w:val="0"/>
          <w:sz w:val="28"/>
          <w:szCs w:val="28"/>
          <w:u w:val="single"/>
        </w:rPr>
        <w:t xml:space="preserve">      </w:t>
      </w:r>
      <w:r>
        <w:rPr>
          <w:rFonts w:hint="eastAsia" w:ascii="宋体" w:hAnsi="宋体" w:cs="宋体"/>
          <w:w w:val="99"/>
          <w:kern w:val="0"/>
          <w:sz w:val="28"/>
          <w:szCs w:val="28"/>
        </w:rPr>
        <w:t>（盖单位公章）</w:t>
      </w:r>
    </w:p>
    <w:p>
      <w:pPr>
        <w:tabs>
          <w:tab w:val="left" w:pos="6080"/>
          <w:tab w:val="left" w:pos="6640"/>
        </w:tabs>
        <w:wordWrap w:val="0"/>
        <w:autoSpaceDE w:val="0"/>
        <w:autoSpaceDN w:val="0"/>
        <w:adjustRightInd w:val="0"/>
        <w:snapToGrid w:val="0"/>
        <w:spacing w:line="360" w:lineRule="auto"/>
        <w:jc w:val="center"/>
        <w:rPr>
          <w:rFonts w:ascii="宋体"/>
          <w:kern w:val="0"/>
          <w:sz w:val="28"/>
          <w:szCs w:val="28"/>
        </w:rPr>
      </w:pPr>
      <w:r>
        <w:rPr>
          <w:rFonts w:hint="eastAsia" w:ascii="宋体" w:hAnsi="宋体" w:cs="宋体"/>
          <w:w w:val="99"/>
          <w:kern w:val="0"/>
          <w:sz w:val="28"/>
          <w:szCs w:val="28"/>
        </w:rPr>
        <w:t>法定代表人或其委托代理人：</w:t>
      </w:r>
      <w:r>
        <w:rPr>
          <w:rFonts w:hint="eastAsia" w:ascii="宋体" w:hAnsi="宋体" w:cs="宋体"/>
          <w:w w:val="198"/>
          <w:kern w:val="0"/>
          <w:sz w:val="28"/>
          <w:szCs w:val="28"/>
          <w:u w:val="single"/>
        </w:rPr>
        <w:t xml:space="preserve">      </w:t>
      </w:r>
      <w:r>
        <w:rPr>
          <w:rFonts w:ascii="宋体" w:hAnsi="宋体" w:cs="宋体"/>
          <w:w w:val="198"/>
          <w:kern w:val="0"/>
          <w:sz w:val="28"/>
          <w:szCs w:val="28"/>
          <w:u w:val="single"/>
        </w:rPr>
        <w:t xml:space="preserve"> </w:t>
      </w:r>
      <w:r>
        <w:rPr>
          <w:rFonts w:hint="eastAsia" w:ascii="宋体" w:hAnsi="宋体" w:cs="宋体"/>
          <w:w w:val="198"/>
          <w:kern w:val="0"/>
          <w:sz w:val="28"/>
          <w:szCs w:val="28"/>
          <w:u w:val="single"/>
        </w:rPr>
        <w:t xml:space="preserve">   </w:t>
      </w:r>
      <w:r>
        <w:rPr>
          <w:rFonts w:hint="eastAsia" w:ascii="宋体" w:hAnsi="宋体" w:cs="宋体"/>
          <w:w w:val="99"/>
          <w:kern w:val="0"/>
          <w:sz w:val="28"/>
          <w:szCs w:val="28"/>
        </w:rPr>
        <w:t>（签字）</w:t>
      </w:r>
    </w:p>
    <w:p>
      <w:pPr>
        <w:tabs>
          <w:tab w:val="left" w:pos="3280"/>
          <w:tab w:val="left" w:pos="4680"/>
          <w:tab w:val="left" w:pos="6080"/>
        </w:tabs>
        <w:wordWrap w:val="0"/>
        <w:autoSpaceDE w:val="0"/>
        <w:autoSpaceDN w:val="0"/>
        <w:adjustRightInd w:val="0"/>
        <w:snapToGrid w:val="0"/>
        <w:spacing w:line="360" w:lineRule="auto"/>
        <w:jc w:val="center"/>
        <w:rPr>
          <w:rFonts w:ascii="宋体"/>
          <w:kern w:val="0"/>
          <w:sz w:val="28"/>
          <w:szCs w:val="28"/>
        </w:rPr>
      </w:pPr>
      <w:r>
        <w:rPr>
          <w:rFonts w:ascii="宋体" w:hAnsi="宋体" w:cs="宋体"/>
          <w:w w:val="99"/>
          <w:kern w:val="0"/>
          <w:sz w:val="28"/>
          <w:szCs w:val="28"/>
          <w:u w:val="single"/>
        </w:rPr>
        <w:t xml:space="preserve">     </w:t>
      </w:r>
      <w:r>
        <w:rPr>
          <w:rFonts w:hint="eastAsia" w:ascii="宋体" w:hAnsi="宋体" w:cs="宋体"/>
          <w:w w:val="99"/>
          <w:kern w:val="0"/>
          <w:sz w:val="28"/>
          <w:szCs w:val="28"/>
        </w:rPr>
        <w:t>年</w:t>
      </w:r>
      <w:r>
        <w:rPr>
          <w:rFonts w:ascii="宋体" w:hAnsi="宋体" w:cs="宋体"/>
          <w:w w:val="99"/>
          <w:kern w:val="0"/>
          <w:sz w:val="28"/>
          <w:szCs w:val="28"/>
          <w:u w:val="single"/>
        </w:rPr>
        <w:t xml:space="preserve">   </w:t>
      </w:r>
      <w:r>
        <w:rPr>
          <w:rFonts w:hint="eastAsia" w:ascii="宋体" w:hAnsi="宋体" w:cs="宋体"/>
          <w:w w:val="99"/>
          <w:kern w:val="0"/>
          <w:sz w:val="28"/>
          <w:szCs w:val="28"/>
        </w:rPr>
        <w:t>月</w:t>
      </w:r>
      <w:r>
        <w:rPr>
          <w:rFonts w:ascii="宋体" w:hAnsi="宋体" w:cs="宋体"/>
          <w:w w:val="99"/>
          <w:kern w:val="0"/>
          <w:sz w:val="28"/>
          <w:szCs w:val="28"/>
          <w:u w:val="single"/>
        </w:rPr>
        <w:t xml:space="preserve">   </w:t>
      </w:r>
      <w:r>
        <w:rPr>
          <w:rFonts w:hint="eastAsia" w:ascii="宋体" w:hAnsi="宋体" w:cs="宋体"/>
          <w:w w:val="99"/>
          <w:kern w:val="0"/>
          <w:sz w:val="28"/>
          <w:szCs w:val="28"/>
        </w:rPr>
        <w:t>日</w:t>
      </w:r>
    </w:p>
    <w:p>
      <w:pPr>
        <w:pStyle w:val="6"/>
        <w:wordWrap w:val="0"/>
        <w:jc w:val="center"/>
        <w:rPr>
          <w:rFonts w:ascii="宋体" w:hAnsi="宋体" w:cs="宋体"/>
          <w:b w:val="0"/>
          <w:sz w:val="28"/>
          <w:szCs w:val="28"/>
        </w:rPr>
      </w:pPr>
    </w:p>
    <w:p>
      <w:pPr>
        <w:rPr>
          <w:rFonts w:ascii="宋体" w:hAnsi="宋体" w:cs="宋体"/>
          <w:sz w:val="28"/>
          <w:szCs w:val="28"/>
        </w:rPr>
      </w:pPr>
    </w:p>
    <w:p>
      <w:pPr>
        <w:rPr>
          <w:rFonts w:ascii="宋体" w:hAnsi="宋体" w:cs="宋体"/>
          <w:sz w:val="28"/>
          <w:szCs w:val="28"/>
        </w:rPr>
      </w:pPr>
    </w:p>
    <w:p/>
    <w:p/>
    <w:p>
      <w:pPr>
        <w:autoSpaceDE w:val="0"/>
        <w:autoSpaceDN w:val="0"/>
        <w:adjustRightInd w:val="0"/>
        <w:snapToGrid w:val="0"/>
        <w:spacing w:line="360" w:lineRule="auto"/>
        <w:jc w:val="center"/>
        <w:rPr>
          <w:rFonts w:ascii="宋体" w:hAnsi="宋体" w:cs="MingLiU"/>
          <w:b/>
          <w:kern w:val="0"/>
          <w:sz w:val="32"/>
          <w:szCs w:val="32"/>
        </w:rPr>
      </w:pPr>
      <w:r>
        <w:rPr>
          <w:rFonts w:hint="eastAsia" w:ascii="宋体" w:hAnsi="宋体" w:cs="MingLiU"/>
          <w:b/>
          <w:kern w:val="0"/>
          <w:sz w:val="32"/>
          <w:szCs w:val="32"/>
        </w:rPr>
        <w:t>目     录</w:t>
      </w:r>
    </w:p>
    <w:p>
      <w:pPr>
        <w:autoSpaceDE w:val="0"/>
        <w:autoSpaceDN w:val="0"/>
        <w:adjustRightInd w:val="0"/>
        <w:snapToGrid w:val="0"/>
        <w:spacing w:line="360" w:lineRule="auto"/>
        <w:jc w:val="left"/>
        <w:rPr>
          <w:rFonts w:ascii="宋体" w:hAnsi="宋体"/>
          <w:kern w:val="0"/>
          <w:szCs w:val="21"/>
        </w:rPr>
      </w:pPr>
    </w:p>
    <w:p>
      <w:pPr>
        <w:autoSpaceDE w:val="0"/>
        <w:autoSpaceDN w:val="0"/>
        <w:adjustRightInd w:val="0"/>
        <w:snapToGrid w:val="0"/>
        <w:spacing w:line="360" w:lineRule="auto"/>
        <w:jc w:val="left"/>
        <w:rPr>
          <w:rFonts w:ascii="宋体" w:hAnsi="宋体"/>
          <w:kern w:val="0"/>
          <w:szCs w:val="21"/>
        </w:rPr>
      </w:pPr>
    </w:p>
    <w:p>
      <w:pPr>
        <w:autoSpaceDE w:val="0"/>
        <w:autoSpaceDN w:val="0"/>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[目录由投标人自行编制]</w:t>
      </w:r>
    </w:p>
    <w:p>
      <w:pPr>
        <w:pStyle w:val="6"/>
        <w:wordWrap w:val="0"/>
        <w:jc w:val="center"/>
        <w:rPr>
          <w:rFonts w:ascii="宋体" w:hAnsi="宋体" w:cs="宋体"/>
          <w:b w:val="0"/>
          <w:sz w:val="28"/>
          <w:szCs w:val="28"/>
        </w:rPr>
      </w:pPr>
    </w:p>
    <w:p>
      <w:pPr>
        <w:pStyle w:val="6"/>
        <w:wordWrap w:val="0"/>
        <w:jc w:val="center"/>
        <w:rPr>
          <w:rFonts w:ascii="宋体" w:hAnsi="宋体" w:cs="宋体"/>
          <w:b w:val="0"/>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pStyle w:val="6"/>
        <w:wordWrap w:val="0"/>
        <w:rPr>
          <w:rFonts w:ascii="宋体" w:hAnsi="宋体" w:cs="宋体"/>
          <w:bCs/>
          <w:szCs w:val="32"/>
        </w:rPr>
      </w:pPr>
    </w:p>
    <w:p/>
    <w:p>
      <w:pPr>
        <w:pStyle w:val="6"/>
        <w:wordWrap w:val="0"/>
        <w:jc w:val="center"/>
        <w:rPr>
          <w:rFonts w:ascii="宋体" w:hAnsi="宋体" w:cs="宋体"/>
          <w:bCs/>
          <w:szCs w:val="32"/>
        </w:rPr>
      </w:pPr>
      <w:r>
        <w:rPr>
          <w:rFonts w:hint="eastAsia" w:ascii="宋体" w:hAnsi="宋体" w:cs="宋体"/>
          <w:bCs/>
          <w:szCs w:val="32"/>
        </w:rPr>
        <w:t>已标价工程量清单</w:t>
      </w:r>
    </w:p>
    <w:p>
      <w:pPr>
        <w:rPr>
          <w:rFonts w:ascii="宋体" w:hAnsi="宋体" w:cs="宋体"/>
          <w:b/>
          <w:bCs/>
          <w:sz w:val="28"/>
          <w:szCs w:val="28"/>
        </w:rPr>
      </w:pPr>
    </w:p>
    <w:p/>
    <w:p>
      <w:pPr>
        <w:spacing w:line="540" w:lineRule="exact"/>
        <w:jc w:val="center"/>
        <w:outlineLvl w:val="0"/>
        <w:rPr>
          <w:rFonts w:ascii="宋体" w:hAnsi="宋体" w:cs="宋体"/>
          <w:b/>
          <w:bCs/>
          <w:sz w:val="36"/>
          <w:szCs w:val="36"/>
        </w:rPr>
      </w:pPr>
      <w:bookmarkStart w:id="1368" w:name="_Toc438127593"/>
      <w:bookmarkStart w:id="1369" w:name="_Toc437509479"/>
      <w:bookmarkStart w:id="1370" w:name="_Toc26286"/>
      <w:bookmarkStart w:id="1371" w:name="_Toc20385"/>
      <w:r>
        <w:rPr>
          <w:rFonts w:ascii="宋体"/>
          <w:b/>
          <w:bCs/>
          <w:w w:val="99"/>
          <w:kern w:val="0"/>
          <w:sz w:val="28"/>
          <w:szCs w:val="28"/>
        </w:rPr>
        <w:br w:type="page"/>
      </w:r>
      <w:bookmarkStart w:id="1372" w:name="_Toc454532517"/>
      <w:bookmarkStart w:id="1373" w:name="_Toc460945904"/>
      <w:bookmarkStart w:id="1374" w:name="_Toc450920459"/>
      <w:r>
        <w:rPr>
          <w:rFonts w:hint="eastAsia" w:ascii="宋体" w:hAnsi="宋体" w:cs="宋体"/>
          <w:b/>
          <w:bCs/>
          <w:sz w:val="36"/>
          <w:szCs w:val="36"/>
          <w:lang w:eastAsia="zh-CN"/>
        </w:rPr>
        <w:t>四</w:t>
      </w:r>
      <w:r>
        <w:rPr>
          <w:rFonts w:hint="eastAsia" w:ascii="宋体" w:hAnsi="宋体" w:cs="宋体"/>
          <w:b/>
          <w:bCs/>
          <w:sz w:val="36"/>
          <w:szCs w:val="36"/>
        </w:rPr>
        <w:t>、资格审查</w:t>
      </w:r>
      <w:bookmarkEnd w:id="1368"/>
      <w:bookmarkEnd w:id="1369"/>
      <w:bookmarkEnd w:id="1370"/>
      <w:bookmarkEnd w:id="1371"/>
      <w:bookmarkEnd w:id="1372"/>
      <w:bookmarkEnd w:id="1373"/>
      <w:bookmarkEnd w:id="1374"/>
      <w:r>
        <w:rPr>
          <w:rFonts w:hint="eastAsia" w:ascii="宋体" w:hAnsi="宋体" w:cs="宋体"/>
          <w:b/>
          <w:bCs/>
          <w:sz w:val="36"/>
          <w:szCs w:val="36"/>
        </w:rPr>
        <w:t>资料</w:t>
      </w:r>
    </w:p>
    <w:p/>
    <w:p/>
    <w:p/>
    <w:p/>
    <w:p/>
    <w:p/>
    <w:p/>
    <w:p/>
    <w:p/>
    <w:p/>
    <w:p/>
    <w:p/>
    <w:p/>
    <w:p/>
    <w:p/>
    <w:p/>
    <w:p/>
    <w:p/>
    <w:p/>
    <w:p/>
    <w:p/>
    <w:p/>
    <w:p/>
    <w:p/>
    <w:p/>
    <w:p/>
    <w:p/>
    <w:p/>
    <w:p/>
    <w:p/>
    <w:p/>
    <w:p/>
    <w:p/>
    <w:p/>
    <w:p/>
    <w:p/>
    <w:p/>
    <w:p/>
    <w:p/>
    <w:p/>
    <w:p/>
    <w:p/>
    <w:p/>
    <w:p/>
    <w:p>
      <w:pPr>
        <w:tabs>
          <w:tab w:val="left" w:pos="5150"/>
          <w:tab w:val="left" w:pos="5940"/>
        </w:tabs>
        <w:autoSpaceDE w:val="0"/>
        <w:autoSpaceDN w:val="0"/>
        <w:adjustRightInd w:val="0"/>
        <w:snapToGrid w:val="0"/>
        <w:spacing w:line="360" w:lineRule="auto"/>
        <w:ind w:firstLine="1120" w:firstLineChars="400"/>
        <w:rPr>
          <w:rFonts w:ascii="宋体"/>
          <w:kern w:val="0"/>
          <w:sz w:val="28"/>
          <w:szCs w:val="28"/>
          <w:u w:val="single"/>
        </w:rPr>
      </w:pPr>
    </w:p>
    <w:p>
      <w:pPr>
        <w:tabs>
          <w:tab w:val="left" w:pos="5150"/>
          <w:tab w:val="left" w:pos="5940"/>
        </w:tabs>
        <w:autoSpaceDE w:val="0"/>
        <w:autoSpaceDN w:val="0"/>
        <w:adjustRightInd w:val="0"/>
        <w:snapToGrid w:val="0"/>
        <w:spacing w:line="360" w:lineRule="auto"/>
        <w:ind w:firstLine="1120" w:firstLineChars="400"/>
        <w:rPr>
          <w:rFonts w:ascii="宋体"/>
          <w:kern w:val="0"/>
          <w:sz w:val="28"/>
          <w:szCs w:val="28"/>
          <w:u w:val="single"/>
        </w:rPr>
      </w:pPr>
    </w:p>
    <w:p>
      <w:pPr>
        <w:tabs>
          <w:tab w:val="left" w:pos="5150"/>
          <w:tab w:val="left" w:pos="5940"/>
        </w:tabs>
        <w:autoSpaceDE w:val="0"/>
        <w:autoSpaceDN w:val="0"/>
        <w:adjustRightInd w:val="0"/>
        <w:snapToGrid w:val="0"/>
        <w:spacing w:line="360" w:lineRule="auto"/>
        <w:ind w:firstLine="1120" w:firstLineChars="400"/>
        <w:rPr>
          <w:rFonts w:ascii="宋体"/>
          <w:kern w:val="0"/>
          <w:sz w:val="28"/>
          <w:szCs w:val="28"/>
          <w:u w:val="single"/>
        </w:rPr>
      </w:pPr>
    </w:p>
    <w:p>
      <w:pPr>
        <w:tabs>
          <w:tab w:val="left" w:pos="5150"/>
          <w:tab w:val="left" w:pos="5940"/>
        </w:tabs>
        <w:autoSpaceDE w:val="0"/>
        <w:autoSpaceDN w:val="0"/>
        <w:adjustRightInd w:val="0"/>
        <w:snapToGrid w:val="0"/>
        <w:spacing w:line="360" w:lineRule="auto"/>
        <w:ind w:firstLine="1120" w:firstLineChars="400"/>
        <w:rPr>
          <w:rFonts w:ascii="宋体"/>
          <w:kern w:val="0"/>
          <w:sz w:val="28"/>
          <w:szCs w:val="28"/>
          <w:u w:val="single"/>
        </w:rPr>
      </w:pPr>
    </w:p>
    <w:p>
      <w:pPr>
        <w:tabs>
          <w:tab w:val="left" w:pos="5150"/>
          <w:tab w:val="left" w:pos="5940"/>
        </w:tabs>
        <w:autoSpaceDE w:val="0"/>
        <w:autoSpaceDN w:val="0"/>
        <w:adjustRightInd w:val="0"/>
        <w:snapToGrid w:val="0"/>
        <w:spacing w:line="360" w:lineRule="auto"/>
        <w:ind w:firstLine="1120" w:firstLineChars="400"/>
        <w:rPr>
          <w:rFonts w:ascii="宋体"/>
          <w:kern w:val="0"/>
          <w:sz w:val="28"/>
          <w:szCs w:val="28"/>
          <w:u w:val="single"/>
        </w:rPr>
      </w:pPr>
    </w:p>
    <w:p>
      <w:pPr>
        <w:tabs>
          <w:tab w:val="left" w:pos="5150"/>
          <w:tab w:val="left" w:pos="5940"/>
        </w:tabs>
        <w:autoSpaceDE w:val="0"/>
        <w:autoSpaceDN w:val="0"/>
        <w:adjustRightInd w:val="0"/>
        <w:snapToGrid w:val="0"/>
        <w:spacing w:line="360" w:lineRule="auto"/>
        <w:ind w:firstLine="1120" w:firstLineChars="400"/>
        <w:rPr>
          <w:rFonts w:ascii="宋体"/>
          <w:kern w:val="0"/>
          <w:sz w:val="28"/>
          <w:szCs w:val="28"/>
          <w:u w:val="single"/>
        </w:rPr>
      </w:pPr>
    </w:p>
    <w:p>
      <w:pPr>
        <w:tabs>
          <w:tab w:val="left" w:pos="5150"/>
          <w:tab w:val="left" w:pos="5940"/>
        </w:tabs>
        <w:autoSpaceDE w:val="0"/>
        <w:autoSpaceDN w:val="0"/>
        <w:adjustRightInd w:val="0"/>
        <w:snapToGrid w:val="0"/>
        <w:spacing w:line="360" w:lineRule="auto"/>
        <w:ind w:firstLine="1120" w:firstLineChars="400"/>
        <w:rPr>
          <w:rFonts w:ascii="宋体"/>
          <w:kern w:val="0"/>
          <w:sz w:val="28"/>
          <w:szCs w:val="28"/>
        </w:rPr>
      </w:pPr>
      <w:r>
        <w:rPr>
          <w:rFonts w:ascii="宋体"/>
          <w:kern w:val="0"/>
          <w:sz w:val="28"/>
          <w:szCs w:val="28"/>
          <w:u w:val="single"/>
        </w:rPr>
        <w:tab/>
      </w:r>
      <w:r>
        <w:rPr>
          <w:rFonts w:hint="eastAsia" w:ascii="宋体" w:hAnsi="宋体" w:cs="宋体"/>
          <w:w w:val="99"/>
          <w:kern w:val="0"/>
          <w:sz w:val="28"/>
          <w:szCs w:val="28"/>
        </w:rPr>
        <w:t>（项目名称</w:t>
      </w:r>
      <w:r>
        <w:rPr>
          <w:rFonts w:hint="eastAsia" w:ascii="宋体" w:hAnsi="宋体" w:cs="宋体"/>
          <w:spacing w:val="1"/>
          <w:w w:val="99"/>
          <w:kern w:val="0"/>
          <w:sz w:val="28"/>
          <w:szCs w:val="28"/>
        </w:rPr>
        <w:t>）</w:t>
      </w:r>
      <w:r>
        <w:rPr>
          <w:rFonts w:hint="eastAsia" w:ascii="宋体" w:hAnsi="宋体" w:cs="宋体"/>
          <w:w w:val="99"/>
          <w:kern w:val="0"/>
          <w:sz w:val="28"/>
          <w:szCs w:val="28"/>
        </w:rPr>
        <w:t>施工比选</w:t>
      </w:r>
    </w:p>
    <w:p>
      <w:pPr>
        <w:tabs>
          <w:tab w:val="left" w:pos="3600"/>
          <w:tab w:val="left" w:pos="4480"/>
          <w:tab w:val="left" w:pos="5360"/>
        </w:tabs>
        <w:wordWrap w:val="0"/>
        <w:autoSpaceDE w:val="0"/>
        <w:autoSpaceDN w:val="0"/>
        <w:adjustRightInd w:val="0"/>
        <w:snapToGrid w:val="0"/>
        <w:spacing w:line="360" w:lineRule="auto"/>
        <w:jc w:val="left"/>
        <w:rPr>
          <w:rFonts w:ascii="宋体"/>
          <w:kern w:val="0"/>
          <w:sz w:val="44"/>
          <w:szCs w:val="44"/>
        </w:rPr>
      </w:pPr>
    </w:p>
    <w:p>
      <w:pPr>
        <w:tabs>
          <w:tab w:val="left" w:pos="3600"/>
          <w:tab w:val="left" w:pos="4480"/>
          <w:tab w:val="left" w:pos="5360"/>
        </w:tabs>
        <w:wordWrap w:val="0"/>
        <w:autoSpaceDE w:val="0"/>
        <w:autoSpaceDN w:val="0"/>
        <w:adjustRightInd w:val="0"/>
        <w:snapToGrid w:val="0"/>
        <w:spacing w:line="360" w:lineRule="auto"/>
        <w:jc w:val="left"/>
        <w:rPr>
          <w:rFonts w:ascii="宋体"/>
          <w:kern w:val="0"/>
          <w:sz w:val="44"/>
          <w:szCs w:val="44"/>
        </w:rPr>
      </w:pPr>
    </w:p>
    <w:p>
      <w:pPr>
        <w:tabs>
          <w:tab w:val="left" w:pos="3600"/>
          <w:tab w:val="left" w:pos="4480"/>
          <w:tab w:val="left" w:pos="5360"/>
        </w:tabs>
        <w:wordWrap w:val="0"/>
        <w:autoSpaceDE w:val="0"/>
        <w:autoSpaceDN w:val="0"/>
        <w:adjustRightInd w:val="0"/>
        <w:snapToGrid w:val="0"/>
        <w:spacing w:line="360" w:lineRule="auto"/>
        <w:jc w:val="center"/>
        <w:rPr>
          <w:rFonts w:ascii="宋体"/>
          <w:kern w:val="0"/>
          <w:sz w:val="84"/>
          <w:szCs w:val="84"/>
        </w:rPr>
      </w:pPr>
      <w:r>
        <w:rPr>
          <w:rFonts w:hint="eastAsia" w:ascii="宋体" w:hAnsi="宋体" w:cs="宋体"/>
          <w:kern w:val="0"/>
          <w:sz w:val="84"/>
          <w:szCs w:val="84"/>
        </w:rPr>
        <w:t>投</w:t>
      </w:r>
      <w:r>
        <w:rPr>
          <w:rFonts w:ascii="宋体" w:hAnsi="宋体" w:cs="宋体"/>
          <w:kern w:val="0"/>
          <w:sz w:val="84"/>
          <w:szCs w:val="84"/>
        </w:rPr>
        <w:t xml:space="preserve">  </w:t>
      </w:r>
      <w:r>
        <w:rPr>
          <w:rFonts w:hint="eastAsia" w:ascii="宋体" w:hAnsi="宋体" w:cs="宋体"/>
          <w:kern w:val="0"/>
          <w:sz w:val="84"/>
          <w:szCs w:val="84"/>
        </w:rPr>
        <w:t>标</w:t>
      </w:r>
      <w:r>
        <w:rPr>
          <w:rFonts w:ascii="宋体" w:hAnsi="宋体" w:cs="宋体"/>
          <w:kern w:val="0"/>
          <w:sz w:val="84"/>
          <w:szCs w:val="84"/>
        </w:rPr>
        <w:t xml:space="preserve">  </w:t>
      </w:r>
      <w:r>
        <w:rPr>
          <w:rFonts w:hint="eastAsia" w:ascii="宋体" w:hAnsi="宋体" w:cs="宋体"/>
          <w:kern w:val="0"/>
          <w:sz w:val="84"/>
          <w:szCs w:val="84"/>
        </w:rPr>
        <w:t>文</w:t>
      </w:r>
      <w:r>
        <w:rPr>
          <w:rFonts w:ascii="宋体" w:hAnsi="宋体" w:cs="宋体"/>
          <w:kern w:val="0"/>
          <w:sz w:val="84"/>
          <w:szCs w:val="84"/>
        </w:rPr>
        <w:t xml:space="preserve">  </w:t>
      </w:r>
      <w:r>
        <w:rPr>
          <w:rFonts w:hint="eastAsia" w:ascii="宋体" w:hAnsi="宋体" w:cs="宋体"/>
          <w:kern w:val="0"/>
          <w:sz w:val="84"/>
          <w:szCs w:val="84"/>
        </w:rPr>
        <w:t>件</w:t>
      </w:r>
    </w:p>
    <w:p>
      <w:pPr>
        <w:wordWrap w:val="0"/>
        <w:autoSpaceDE w:val="0"/>
        <w:autoSpaceDN w:val="0"/>
        <w:adjustRightInd w:val="0"/>
        <w:snapToGrid w:val="0"/>
        <w:spacing w:line="360" w:lineRule="auto"/>
        <w:jc w:val="left"/>
        <w:rPr>
          <w:rFonts w:ascii="宋体"/>
          <w:kern w:val="0"/>
          <w:sz w:val="16"/>
          <w:szCs w:val="16"/>
        </w:rPr>
      </w:pPr>
    </w:p>
    <w:p>
      <w:pPr>
        <w:autoSpaceDE w:val="0"/>
        <w:autoSpaceDN w:val="0"/>
        <w:adjustRightInd w:val="0"/>
        <w:snapToGrid w:val="0"/>
        <w:spacing w:line="360" w:lineRule="auto"/>
        <w:jc w:val="center"/>
        <w:rPr>
          <w:rFonts w:ascii="宋体"/>
          <w:kern w:val="0"/>
          <w:sz w:val="36"/>
          <w:szCs w:val="36"/>
        </w:rPr>
      </w:pPr>
      <w:r>
        <w:rPr>
          <w:rFonts w:hint="eastAsia" w:ascii="宋体" w:hAnsi="宋体" w:cs="宋体"/>
          <w:kern w:val="0"/>
          <w:sz w:val="36"/>
          <w:szCs w:val="36"/>
        </w:rPr>
        <w:t>资格审查材料</w:t>
      </w:r>
    </w:p>
    <w:p>
      <w:pPr>
        <w:wordWrap w:val="0"/>
        <w:autoSpaceDE w:val="0"/>
        <w:autoSpaceDN w:val="0"/>
        <w:adjustRightInd w:val="0"/>
        <w:snapToGrid w:val="0"/>
        <w:spacing w:line="360" w:lineRule="auto"/>
        <w:jc w:val="left"/>
        <w:rPr>
          <w:rFonts w:ascii="宋体"/>
          <w:kern w:val="0"/>
          <w:sz w:val="20"/>
        </w:rPr>
      </w:pPr>
    </w:p>
    <w:p>
      <w:pPr>
        <w:wordWrap w:val="0"/>
        <w:adjustRightInd w:val="0"/>
        <w:snapToGrid w:val="0"/>
        <w:spacing w:line="264" w:lineRule="auto"/>
        <w:ind w:firstLine="630" w:firstLineChars="300"/>
        <w:rPr>
          <w:rFonts w:ascii="宋体"/>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tabs>
          <w:tab w:val="left" w:pos="6080"/>
          <w:tab w:val="left" w:pos="6640"/>
        </w:tabs>
        <w:wordWrap w:val="0"/>
        <w:autoSpaceDE w:val="0"/>
        <w:autoSpaceDN w:val="0"/>
        <w:adjustRightInd w:val="0"/>
        <w:snapToGrid w:val="0"/>
        <w:spacing w:line="360" w:lineRule="auto"/>
        <w:jc w:val="center"/>
        <w:rPr>
          <w:rFonts w:ascii="宋体"/>
          <w:w w:val="99"/>
          <w:kern w:val="0"/>
          <w:sz w:val="28"/>
          <w:szCs w:val="28"/>
        </w:rPr>
      </w:pPr>
      <w:r>
        <w:rPr>
          <w:rFonts w:hint="eastAsia" w:ascii="宋体" w:hAnsi="宋体" w:cs="宋体"/>
          <w:w w:val="99"/>
          <w:kern w:val="0"/>
          <w:sz w:val="28"/>
          <w:szCs w:val="28"/>
        </w:rPr>
        <w:t>投标人</w:t>
      </w:r>
      <w:r>
        <w:rPr>
          <w:rFonts w:hint="eastAsia" w:ascii="宋体" w:hAnsi="宋体" w:cs="宋体"/>
          <w:spacing w:val="1"/>
          <w:w w:val="99"/>
          <w:kern w:val="0"/>
          <w:sz w:val="28"/>
          <w:szCs w:val="28"/>
        </w:rPr>
        <w:t>：</w:t>
      </w:r>
      <w:r>
        <w:rPr>
          <w:rFonts w:hint="eastAsia" w:ascii="宋体" w:hAnsi="宋体" w:cs="宋体"/>
          <w:w w:val="198"/>
          <w:kern w:val="0"/>
          <w:sz w:val="28"/>
          <w:szCs w:val="28"/>
          <w:u w:val="single"/>
        </w:rPr>
        <w:t xml:space="preserve">            </w:t>
      </w:r>
      <w:r>
        <w:rPr>
          <w:rFonts w:ascii="宋体" w:hAnsi="宋体" w:cs="宋体"/>
          <w:w w:val="198"/>
          <w:kern w:val="0"/>
          <w:sz w:val="28"/>
          <w:szCs w:val="28"/>
          <w:u w:val="single"/>
        </w:rPr>
        <w:t xml:space="preserve"> </w:t>
      </w:r>
      <w:r>
        <w:rPr>
          <w:rFonts w:hint="eastAsia" w:ascii="宋体" w:hAnsi="宋体" w:cs="宋体"/>
          <w:w w:val="198"/>
          <w:kern w:val="0"/>
          <w:sz w:val="28"/>
          <w:szCs w:val="28"/>
          <w:u w:val="single"/>
        </w:rPr>
        <w:t xml:space="preserve">      </w:t>
      </w:r>
      <w:r>
        <w:rPr>
          <w:rFonts w:hint="eastAsia" w:ascii="宋体" w:hAnsi="宋体" w:cs="宋体"/>
          <w:w w:val="99"/>
          <w:kern w:val="0"/>
          <w:sz w:val="28"/>
          <w:szCs w:val="28"/>
        </w:rPr>
        <w:t>（盖单位公章）</w:t>
      </w:r>
    </w:p>
    <w:p>
      <w:pPr>
        <w:tabs>
          <w:tab w:val="left" w:pos="6080"/>
          <w:tab w:val="left" w:pos="6640"/>
        </w:tabs>
        <w:wordWrap w:val="0"/>
        <w:autoSpaceDE w:val="0"/>
        <w:autoSpaceDN w:val="0"/>
        <w:adjustRightInd w:val="0"/>
        <w:snapToGrid w:val="0"/>
        <w:spacing w:line="360" w:lineRule="auto"/>
        <w:jc w:val="center"/>
        <w:rPr>
          <w:rFonts w:ascii="宋体"/>
          <w:kern w:val="0"/>
          <w:sz w:val="28"/>
          <w:szCs w:val="28"/>
        </w:rPr>
      </w:pPr>
      <w:r>
        <w:rPr>
          <w:rFonts w:hint="eastAsia" w:ascii="宋体" w:hAnsi="宋体" w:cs="宋体"/>
          <w:w w:val="99"/>
          <w:kern w:val="0"/>
          <w:sz w:val="28"/>
          <w:szCs w:val="28"/>
        </w:rPr>
        <w:t>法定代表人或其委托代理人：</w:t>
      </w:r>
      <w:r>
        <w:rPr>
          <w:rFonts w:hint="eastAsia" w:ascii="宋体" w:hAnsi="宋体" w:cs="宋体"/>
          <w:w w:val="198"/>
          <w:kern w:val="0"/>
          <w:sz w:val="28"/>
          <w:szCs w:val="28"/>
          <w:u w:val="single"/>
        </w:rPr>
        <w:t xml:space="preserve">   </w:t>
      </w:r>
      <w:r>
        <w:rPr>
          <w:rFonts w:ascii="宋体" w:hAnsi="宋体" w:cs="宋体"/>
          <w:w w:val="198"/>
          <w:kern w:val="0"/>
          <w:sz w:val="28"/>
          <w:szCs w:val="28"/>
          <w:u w:val="single"/>
        </w:rPr>
        <w:t xml:space="preserve"> </w:t>
      </w:r>
      <w:r>
        <w:rPr>
          <w:rFonts w:hint="eastAsia" w:ascii="宋体" w:hAnsi="宋体" w:cs="宋体"/>
          <w:w w:val="198"/>
          <w:kern w:val="0"/>
          <w:sz w:val="28"/>
          <w:szCs w:val="28"/>
          <w:u w:val="single"/>
        </w:rPr>
        <w:t xml:space="preserve">      </w:t>
      </w:r>
      <w:r>
        <w:rPr>
          <w:rFonts w:hint="eastAsia" w:ascii="宋体" w:hAnsi="宋体" w:cs="宋体"/>
          <w:w w:val="99"/>
          <w:kern w:val="0"/>
          <w:sz w:val="28"/>
          <w:szCs w:val="28"/>
        </w:rPr>
        <w:t>（签字）</w:t>
      </w:r>
    </w:p>
    <w:p>
      <w:pPr>
        <w:tabs>
          <w:tab w:val="left" w:pos="3280"/>
          <w:tab w:val="left" w:pos="4680"/>
          <w:tab w:val="left" w:pos="6080"/>
        </w:tabs>
        <w:wordWrap w:val="0"/>
        <w:autoSpaceDE w:val="0"/>
        <w:autoSpaceDN w:val="0"/>
        <w:adjustRightInd w:val="0"/>
        <w:snapToGrid w:val="0"/>
        <w:spacing w:line="360" w:lineRule="auto"/>
        <w:jc w:val="center"/>
        <w:rPr>
          <w:rFonts w:ascii="宋体"/>
          <w:w w:val="99"/>
          <w:kern w:val="0"/>
          <w:sz w:val="28"/>
          <w:szCs w:val="28"/>
          <w:u w:val="single"/>
        </w:rPr>
      </w:pPr>
    </w:p>
    <w:p>
      <w:pPr>
        <w:tabs>
          <w:tab w:val="left" w:pos="3280"/>
          <w:tab w:val="left" w:pos="4680"/>
          <w:tab w:val="left" w:pos="6080"/>
        </w:tabs>
        <w:wordWrap w:val="0"/>
        <w:autoSpaceDE w:val="0"/>
        <w:autoSpaceDN w:val="0"/>
        <w:adjustRightInd w:val="0"/>
        <w:snapToGrid w:val="0"/>
        <w:spacing w:line="360" w:lineRule="auto"/>
        <w:jc w:val="center"/>
        <w:rPr>
          <w:rFonts w:ascii="宋体"/>
          <w:kern w:val="0"/>
          <w:sz w:val="28"/>
          <w:szCs w:val="28"/>
        </w:rPr>
      </w:pPr>
      <w:r>
        <w:rPr>
          <w:rFonts w:ascii="宋体" w:hAnsi="宋体" w:cs="宋体"/>
          <w:w w:val="99"/>
          <w:kern w:val="0"/>
          <w:sz w:val="28"/>
          <w:szCs w:val="28"/>
          <w:u w:val="single"/>
        </w:rPr>
        <w:t xml:space="preserve">      </w:t>
      </w:r>
      <w:r>
        <w:rPr>
          <w:rFonts w:hint="eastAsia" w:ascii="宋体" w:hAnsi="宋体" w:cs="宋体"/>
          <w:w w:val="99"/>
          <w:kern w:val="0"/>
          <w:sz w:val="28"/>
          <w:szCs w:val="28"/>
        </w:rPr>
        <w:t>年</w:t>
      </w:r>
      <w:r>
        <w:rPr>
          <w:rFonts w:ascii="宋体" w:hAnsi="宋体" w:cs="宋体"/>
          <w:w w:val="99"/>
          <w:kern w:val="0"/>
          <w:sz w:val="28"/>
          <w:szCs w:val="28"/>
          <w:u w:val="single"/>
        </w:rPr>
        <w:t xml:space="preserve">     </w:t>
      </w:r>
      <w:r>
        <w:rPr>
          <w:rFonts w:hint="eastAsia" w:ascii="宋体" w:hAnsi="宋体" w:cs="宋体"/>
          <w:w w:val="99"/>
          <w:kern w:val="0"/>
          <w:sz w:val="28"/>
          <w:szCs w:val="28"/>
        </w:rPr>
        <w:t>月</w:t>
      </w:r>
      <w:r>
        <w:rPr>
          <w:rFonts w:ascii="宋体" w:hAnsi="宋体" w:cs="宋体"/>
          <w:w w:val="99"/>
          <w:kern w:val="0"/>
          <w:sz w:val="28"/>
          <w:szCs w:val="28"/>
          <w:u w:val="single"/>
        </w:rPr>
        <w:t xml:space="preserve">     </w:t>
      </w:r>
      <w:r>
        <w:rPr>
          <w:rFonts w:hint="eastAsia" w:ascii="宋体" w:hAnsi="宋体" w:cs="宋体"/>
          <w:w w:val="99"/>
          <w:kern w:val="0"/>
          <w:sz w:val="28"/>
          <w:szCs w:val="28"/>
        </w:rPr>
        <w:t>日</w:t>
      </w:r>
    </w:p>
    <w:p>
      <w:pPr>
        <w:rPr>
          <w:rFonts w:hAnsi="宋体"/>
          <w:b/>
          <w:snapToGrid w:val="0"/>
          <w:sz w:val="28"/>
          <w:szCs w:val="24"/>
        </w:rPr>
      </w:pPr>
      <w:r>
        <w:rPr>
          <w:rFonts w:ascii="宋体"/>
          <w:kern w:val="0"/>
          <w:sz w:val="32"/>
          <w:szCs w:val="32"/>
        </w:rPr>
        <w:br w:type="page"/>
      </w:r>
    </w:p>
    <w:p>
      <w:pPr>
        <w:jc w:val="center"/>
        <w:rPr>
          <w:rFonts w:ascii="宋体"/>
          <w:kern w:val="0"/>
          <w:sz w:val="32"/>
          <w:szCs w:val="32"/>
        </w:rPr>
      </w:pPr>
      <w:r>
        <w:rPr>
          <w:rFonts w:hint="eastAsia" w:ascii="宋体" w:hAnsi="宋体" w:cs="宋体"/>
          <w:kern w:val="0"/>
          <w:sz w:val="32"/>
          <w:szCs w:val="32"/>
        </w:rPr>
        <w:t>目</w:t>
      </w:r>
      <w:r>
        <w:rPr>
          <w:rFonts w:ascii="宋体" w:hAnsi="宋体" w:cs="宋体"/>
          <w:kern w:val="0"/>
          <w:sz w:val="32"/>
          <w:szCs w:val="32"/>
        </w:rPr>
        <w:t xml:space="preserve">    </w:t>
      </w:r>
      <w:r>
        <w:rPr>
          <w:rFonts w:hint="eastAsia" w:ascii="宋体" w:hAnsi="宋体" w:cs="宋体"/>
          <w:kern w:val="0"/>
          <w:sz w:val="32"/>
          <w:szCs w:val="32"/>
        </w:rPr>
        <w:t>录</w:t>
      </w:r>
    </w:p>
    <w:p>
      <w:pPr>
        <w:wordWrap w:val="0"/>
        <w:jc w:val="center"/>
        <w:rPr>
          <w:rFonts w:ascii="宋体"/>
          <w:kern w:val="0"/>
          <w:sz w:val="32"/>
          <w:szCs w:val="32"/>
        </w:rPr>
      </w:pPr>
    </w:p>
    <w:p>
      <w:pPr>
        <w:wordWrap w:val="0"/>
        <w:jc w:val="center"/>
        <w:rPr>
          <w:rFonts w:ascii="宋体"/>
          <w:kern w:val="0"/>
          <w:sz w:val="32"/>
          <w:szCs w:val="32"/>
        </w:rPr>
      </w:pPr>
    </w:p>
    <w:p>
      <w:pPr>
        <w:spacing w:line="360" w:lineRule="auto"/>
        <w:ind w:firstLine="420" w:firstLineChars="200"/>
        <w:rPr>
          <w:rFonts w:ascii="宋体" w:hAnsi="宋体"/>
        </w:rPr>
      </w:pPr>
      <w:r>
        <w:rPr>
          <w:rFonts w:ascii="宋体" w:hAnsi="宋体"/>
        </w:rPr>
        <w:t>（一）法定代表人身份证明及授权委托书</w:t>
      </w:r>
    </w:p>
    <w:p>
      <w:pPr>
        <w:pStyle w:val="2"/>
        <w:rPr>
          <w:rFonts w:ascii="宋体" w:hAnsi="宋体"/>
        </w:rPr>
      </w:pPr>
      <w:r>
        <w:rPr>
          <w:rFonts w:hint="eastAsia" w:ascii="宋体" w:hAnsi="宋体"/>
        </w:rPr>
        <w:t xml:space="preserve">     (二）</w:t>
      </w:r>
      <w:r>
        <w:rPr>
          <w:rFonts w:ascii="宋体" w:hAnsi="宋体"/>
        </w:rPr>
        <w:t>投标人基本情况表</w:t>
      </w:r>
    </w:p>
    <w:p>
      <w:pPr>
        <w:spacing w:line="360" w:lineRule="auto"/>
        <w:ind w:firstLine="420" w:firstLineChars="200"/>
        <w:rPr>
          <w:rFonts w:ascii="宋体" w:hAnsi="宋体"/>
        </w:rPr>
      </w:pPr>
      <w:r>
        <w:rPr>
          <w:rFonts w:ascii="宋体" w:hAnsi="宋体"/>
        </w:rPr>
        <w:t>（</w:t>
      </w:r>
      <w:r>
        <w:rPr>
          <w:rFonts w:hint="eastAsia" w:ascii="宋体" w:hAnsi="宋体"/>
        </w:rPr>
        <w:t>三</w:t>
      </w:r>
      <w:r>
        <w:rPr>
          <w:rFonts w:ascii="宋体" w:hAnsi="宋体"/>
        </w:rPr>
        <w:t>）项目管理机构</w:t>
      </w:r>
    </w:p>
    <w:p>
      <w:pPr>
        <w:spacing w:line="360" w:lineRule="auto"/>
        <w:ind w:firstLine="420" w:firstLineChars="200"/>
        <w:rPr>
          <w:rFonts w:ascii="宋体" w:hAnsi="宋体"/>
        </w:rPr>
      </w:pPr>
      <w:r>
        <w:rPr>
          <w:rFonts w:hint="eastAsia" w:ascii="宋体" w:hAnsi="宋体"/>
        </w:rPr>
        <w:t>（四）投标截止日投标资格情况</w:t>
      </w:r>
    </w:p>
    <w:p>
      <w:pPr>
        <w:spacing w:line="360" w:lineRule="auto"/>
        <w:ind w:firstLine="420" w:firstLineChars="200"/>
        <w:rPr>
          <w:rFonts w:ascii="宋体" w:hAnsi="宋体"/>
        </w:rPr>
      </w:pPr>
      <w:r>
        <w:rPr>
          <w:rFonts w:ascii="宋体" w:hAnsi="宋体"/>
        </w:rPr>
        <w:t>（</w:t>
      </w:r>
      <w:r>
        <w:rPr>
          <w:rFonts w:hint="eastAsia" w:ascii="宋体" w:hAnsi="宋体"/>
        </w:rPr>
        <w:t>五</w:t>
      </w:r>
      <w:r>
        <w:rPr>
          <w:rFonts w:ascii="宋体" w:hAnsi="宋体"/>
        </w:rPr>
        <w:t>）其他资料</w:t>
      </w:r>
    </w:p>
    <w:p>
      <w:pPr>
        <w:spacing w:line="480" w:lineRule="auto"/>
        <w:rPr>
          <w:rFonts w:ascii="宋体"/>
          <w:kern w:val="0"/>
        </w:rPr>
      </w:pPr>
    </w:p>
    <w:p>
      <w:pPr>
        <w:spacing w:line="480" w:lineRule="auto"/>
        <w:rPr>
          <w:rFonts w:ascii="宋体"/>
          <w:kern w:val="0"/>
        </w:rPr>
      </w:pPr>
    </w:p>
    <w:p>
      <w:pPr>
        <w:spacing w:line="480" w:lineRule="auto"/>
        <w:rPr>
          <w:rFonts w:ascii="宋体"/>
          <w:kern w:val="0"/>
        </w:rPr>
      </w:pPr>
    </w:p>
    <w:p>
      <w:pPr>
        <w:spacing w:line="480" w:lineRule="auto"/>
        <w:rPr>
          <w:rFonts w:ascii="宋体"/>
          <w:kern w:val="0"/>
        </w:rPr>
      </w:pPr>
    </w:p>
    <w:p>
      <w:pPr>
        <w:spacing w:line="480" w:lineRule="auto"/>
        <w:rPr>
          <w:rFonts w:ascii="宋体"/>
          <w:kern w:val="0"/>
        </w:rPr>
      </w:pPr>
    </w:p>
    <w:p>
      <w:pPr>
        <w:spacing w:line="480" w:lineRule="auto"/>
        <w:rPr>
          <w:rFonts w:ascii="宋体"/>
          <w:kern w:val="0"/>
        </w:rPr>
      </w:pPr>
    </w:p>
    <w:p>
      <w:pPr>
        <w:spacing w:line="480" w:lineRule="auto"/>
        <w:rPr>
          <w:rFonts w:ascii="宋体"/>
          <w:kern w:val="0"/>
        </w:rPr>
      </w:pPr>
    </w:p>
    <w:p>
      <w:pPr>
        <w:spacing w:line="480" w:lineRule="auto"/>
        <w:rPr>
          <w:rFonts w:ascii="宋体"/>
          <w:kern w:val="0"/>
        </w:rPr>
      </w:pPr>
    </w:p>
    <w:p>
      <w:pPr>
        <w:spacing w:line="480" w:lineRule="auto"/>
        <w:rPr>
          <w:rFonts w:ascii="宋体"/>
          <w:kern w:val="0"/>
        </w:rPr>
      </w:pPr>
    </w:p>
    <w:p>
      <w:pPr>
        <w:spacing w:line="480" w:lineRule="auto"/>
        <w:rPr>
          <w:rFonts w:ascii="宋体"/>
          <w:kern w:val="0"/>
        </w:rPr>
      </w:pPr>
    </w:p>
    <w:p>
      <w:pPr>
        <w:spacing w:line="480" w:lineRule="auto"/>
        <w:rPr>
          <w:rFonts w:ascii="宋体"/>
          <w:kern w:val="0"/>
        </w:rPr>
      </w:pPr>
    </w:p>
    <w:p>
      <w:pPr>
        <w:spacing w:line="480" w:lineRule="auto"/>
        <w:rPr>
          <w:rFonts w:ascii="宋体"/>
          <w:kern w:val="0"/>
        </w:rPr>
      </w:pPr>
    </w:p>
    <w:p>
      <w:pPr>
        <w:spacing w:line="480" w:lineRule="auto"/>
        <w:rPr>
          <w:rFonts w:ascii="宋体"/>
          <w:kern w:val="0"/>
        </w:rPr>
      </w:pPr>
    </w:p>
    <w:p>
      <w:pPr>
        <w:spacing w:line="480" w:lineRule="auto"/>
        <w:rPr>
          <w:rFonts w:ascii="宋体"/>
          <w:kern w:val="0"/>
        </w:rPr>
      </w:pPr>
    </w:p>
    <w:p>
      <w:pPr>
        <w:spacing w:line="480" w:lineRule="auto"/>
        <w:rPr>
          <w:rFonts w:ascii="宋体"/>
          <w:kern w:val="0"/>
        </w:rPr>
      </w:pPr>
    </w:p>
    <w:p>
      <w:pPr>
        <w:spacing w:line="480" w:lineRule="auto"/>
        <w:rPr>
          <w:rFonts w:ascii="宋体"/>
          <w:kern w:val="0"/>
        </w:rPr>
      </w:pPr>
    </w:p>
    <w:p>
      <w:pPr>
        <w:spacing w:line="480" w:lineRule="auto"/>
        <w:rPr>
          <w:rFonts w:ascii="宋体"/>
          <w:kern w:val="0"/>
        </w:rPr>
      </w:pPr>
    </w:p>
    <w:p>
      <w:pPr>
        <w:spacing w:line="480" w:lineRule="auto"/>
        <w:rPr>
          <w:rFonts w:ascii="宋体"/>
          <w:kern w:val="0"/>
        </w:rPr>
      </w:pPr>
    </w:p>
    <w:p>
      <w:pPr>
        <w:spacing w:line="480" w:lineRule="auto"/>
        <w:rPr>
          <w:rFonts w:ascii="宋体"/>
          <w:kern w:val="0"/>
        </w:rPr>
      </w:pPr>
    </w:p>
    <w:p>
      <w:pPr>
        <w:spacing w:line="480" w:lineRule="auto"/>
        <w:rPr>
          <w:rFonts w:ascii="宋体"/>
          <w:kern w:val="0"/>
        </w:rPr>
      </w:pPr>
    </w:p>
    <w:p>
      <w:pPr>
        <w:pStyle w:val="6"/>
        <w:jc w:val="center"/>
        <w:rPr>
          <w:rFonts w:ascii="宋体" w:hAnsi="宋体" w:cs="宋体"/>
          <w:sz w:val="31"/>
          <w:szCs w:val="31"/>
        </w:rPr>
      </w:pPr>
      <w:r>
        <w:rPr>
          <w:rFonts w:hint="eastAsia" w:ascii="宋体" w:hAnsi="宋体" w:cs="宋体"/>
          <w:sz w:val="31"/>
          <w:szCs w:val="31"/>
        </w:rPr>
        <w:t>（一） 法定代表人身份证明及授权委托书</w:t>
      </w:r>
    </w:p>
    <w:p>
      <w:pPr>
        <w:jc w:val="center"/>
        <w:rPr>
          <w:rFonts w:ascii="宋体" w:hAnsi="宋体" w:cs="宋体"/>
          <w:b/>
          <w:sz w:val="31"/>
          <w:szCs w:val="31"/>
        </w:rPr>
      </w:pPr>
      <w:r>
        <w:rPr>
          <w:rFonts w:hint="eastAsia" w:ascii="宋体" w:hAnsi="宋体" w:cs="宋体"/>
          <w:b/>
          <w:sz w:val="31"/>
          <w:szCs w:val="31"/>
        </w:rPr>
        <w:t>法定代表人身份证明</w:t>
      </w:r>
    </w:p>
    <w:p>
      <w:pPr>
        <w:jc w:val="center"/>
        <w:rPr>
          <w:rFonts w:ascii="宋体" w:hAnsi="宋体" w:cs="宋体"/>
          <w:b/>
          <w:sz w:val="31"/>
          <w:szCs w:val="31"/>
        </w:rPr>
      </w:pPr>
    </w:p>
    <w:p>
      <w:pPr>
        <w:tabs>
          <w:tab w:val="left" w:pos="5565"/>
        </w:tabs>
        <w:autoSpaceDE w:val="0"/>
        <w:autoSpaceDN w:val="0"/>
        <w:adjustRightInd w:val="0"/>
        <w:snapToGrid w:val="0"/>
        <w:spacing w:line="480" w:lineRule="auto"/>
        <w:ind w:firstLine="390" w:firstLineChars="186"/>
        <w:jc w:val="left"/>
        <w:rPr>
          <w:rFonts w:ascii="宋体" w:hAnsi="宋体" w:cs="宋体"/>
          <w:kern w:val="0"/>
        </w:rPr>
      </w:pPr>
      <w:r>
        <w:rPr>
          <w:rFonts w:hint="eastAsia" w:ascii="宋体" w:hAnsi="宋体" w:cs="宋体"/>
          <w:kern w:val="0"/>
        </w:rPr>
        <w:t>投标人名称：</w:t>
      </w:r>
      <w:r>
        <w:rPr>
          <w:rFonts w:hint="eastAsia" w:ascii="宋体" w:hAnsi="宋体" w:cs="宋体"/>
          <w:w w:val="200"/>
          <w:kern w:val="0"/>
          <w:u w:val="single"/>
        </w:rPr>
        <w:t xml:space="preserve"> </w:t>
      </w:r>
      <w:r>
        <w:rPr>
          <w:rFonts w:hint="eastAsia" w:ascii="宋体" w:hAnsi="宋体" w:cs="宋体"/>
          <w:kern w:val="0"/>
          <w:u w:val="single"/>
        </w:rPr>
        <w:tab/>
      </w:r>
    </w:p>
    <w:p>
      <w:pPr>
        <w:tabs>
          <w:tab w:val="left" w:pos="5475"/>
        </w:tabs>
        <w:autoSpaceDE w:val="0"/>
        <w:autoSpaceDN w:val="0"/>
        <w:adjustRightInd w:val="0"/>
        <w:snapToGrid w:val="0"/>
        <w:spacing w:line="480" w:lineRule="auto"/>
        <w:ind w:firstLine="390" w:firstLineChars="186"/>
        <w:jc w:val="left"/>
        <w:rPr>
          <w:rFonts w:ascii="宋体" w:hAnsi="宋体" w:cs="宋体"/>
          <w:kern w:val="0"/>
        </w:rPr>
      </w:pPr>
      <w:r>
        <w:rPr>
          <w:rFonts w:hint="eastAsia" w:ascii="宋体" w:hAnsi="宋体" w:cs="宋体"/>
          <w:kern w:val="0"/>
        </w:rPr>
        <w:t>单位性质：</w:t>
      </w:r>
      <w:r>
        <w:rPr>
          <w:rFonts w:hint="eastAsia" w:ascii="宋体" w:hAnsi="宋体" w:cs="宋体"/>
          <w:w w:val="200"/>
          <w:kern w:val="0"/>
          <w:u w:val="single"/>
        </w:rPr>
        <w:t xml:space="preserve"> </w:t>
      </w:r>
      <w:r>
        <w:rPr>
          <w:rFonts w:hint="eastAsia" w:ascii="宋体" w:hAnsi="宋体" w:cs="宋体"/>
          <w:kern w:val="0"/>
          <w:u w:val="single"/>
        </w:rPr>
        <w:tab/>
      </w:r>
    </w:p>
    <w:p>
      <w:pPr>
        <w:tabs>
          <w:tab w:val="left" w:pos="5475"/>
        </w:tabs>
        <w:autoSpaceDE w:val="0"/>
        <w:autoSpaceDN w:val="0"/>
        <w:adjustRightInd w:val="0"/>
        <w:snapToGrid w:val="0"/>
        <w:spacing w:line="480" w:lineRule="auto"/>
        <w:ind w:firstLine="390" w:firstLineChars="186"/>
        <w:jc w:val="left"/>
        <w:rPr>
          <w:rFonts w:ascii="宋体" w:hAnsi="宋体" w:cs="宋体"/>
          <w:kern w:val="0"/>
        </w:rPr>
      </w:pPr>
      <w:r>
        <w:rPr>
          <w:rFonts w:hint="eastAsia" w:ascii="宋体" w:hAnsi="宋体" w:cs="宋体"/>
          <w:kern w:val="0"/>
        </w:rPr>
        <w:t>地址：</w:t>
      </w:r>
      <w:r>
        <w:rPr>
          <w:rFonts w:hint="eastAsia" w:ascii="宋体" w:hAnsi="宋体" w:cs="宋体"/>
          <w:w w:val="200"/>
          <w:kern w:val="0"/>
          <w:u w:val="single"/>
        </w:rPr>
        <w:t xml:space="preserve"> </w:t>
      </w:r>
      <w:r>
        <w:rPr>
          <w:rFonts w:hint="eastAsia" w:ascii="宋体" w:hAnsi="宋体" w:cs="宋体"/>
          <w:kern w:val="0"/>
          <w:u w:val="single"/>
        </w:rPr>
        <w:tab/>
      </w:r>
    </w:p>
    <w:p>
      <w:pPr>
        <w:tabs>
          <w:tab w:val="left" w:pos="2520"/>
          <w:tab w:val="left" w:pos="3836"/>
        </w:tabs>
        <w:autoSpaceDE w:val="0"/>
        <w:autoSpaceDN w:val="0"/>
        <w:adjustRightInd w:val="0"/>
        <w:snapToGrid w:val="0"/>
        <w:spacing w:line="480" w:lineRule="auto"/>
        <w:ind w:firstLine="390" w:firstLineChars="186"/>
        <w:jc w:val="left"/>
        <w:rPr>
          <w:rFonts w:ascii="宋体" w:hAnsi="宋体" w:cs="宋体"/>
          <w:kern w:val="0"/>
        </w:rPr>
      </w:pPr>
      <w:r>
        <w:rPr>
          <w:rFonts w:hint="eastAsia" w:ascii="宋体" w:hAnsi="宋体" w:cs="宋体"/>
          <w:kern w:val="0"/>
        </w:rPr>
        <w:t>成立时间：</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 xml:space="preserve"> </w:t>
      </w:r>
      <w:r>
        <w:rPr>
          <w:rFonts w:hint="eastAsia" w:ascii="宋体" w:hAnsi="宋体" w:cs="宋体"/>
          <w:spacing w:val="-1"/>
          <w:kern w:val="0"/>
        </w:rPr>
        <w:t>年</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u w:val="single"/>
        </w:rPr>
        <w:t xml:space="preserve"> </w:t>
      </w:r>
      <w:r>
        <w:rPr>
          <w:rFonts w:hint="eastAsia" w:ascii="宋体" w:hAnsi="宋体" w:cs="宋体"/>
          <w:kern w:val="0"/>
        </w:rPr>
        <w:t xml:space="preserve"> </w:t>
      </w:r>
      <w:r>
        <w:rPr>
          <w:rFonts w:hint="eastAsia" w:ascii="宋体" w:hAnsi="宋体" w:cs="宋体"/>
          <w:spacing w:val="-1"/>
          <w:kern w:val="0"/>
        </w:rPr>
        <w:t>月</w:t>
      </w:r>
      <w:r>
        <w:rPr>
          <w:rFonts w:hint="eastAsia" w:ascii="宋体" w:hAnsi="宋体" w:cs="宋体"/>
          <w:w w:val="200"/>
          <w:kern w:val="0"/>
          <w:u w:val="single"/>
        </w:rPr>
        <w:t xml:space="preserve"> </w:t>
      </w:r>
      <w:r>
        <w:rPr>
          <w:rFonts w:hint="eastAsia" w:ascii="宋体" w:hAnsi="宋体" w:cs="宋体"/>
          <w:kern w:val="0"/>
          <w:u w:val="single"/>
        </w:rPr>
        <w:t xml:space="preserve">         </w:t>
      </w:r>
      <w:r>
        <w:rPr>
          <w:rFonts w:hint="eastAsia" w:ascii="宋体" w:hAnsi="宋体" w:cs="宋体"/>
          <w:kern w:val="0"/>
        </w:rPr>
        <w:t>日</w:t>
      </w:r>
    </w:p>
    <w:p>
      <w:pPr>
        <w:tabs>
          <w:tab w:val="left" w:pos="5475"/>
        </w:tabs>
        <w:autoSpaceDE w:val="0"/>
        <w:autoSpaceDN w:val="0"/>
        <w:adjustRightInd w:val="0"/>
        <w:snapToGrid w:val="0"/>
        <w:spacing w:line="480" w:lineRule="auto"/>
        <w:ind w:firstLine="390" w:firstLineChars="186"/>
        <w:jc w:val="left"/>
        <w:rPr>
          <w:rFonts w:ascii="宋体" w:hAnsi="宋体" w:cs="宋体"/>
          <w:kern w:val="0"/>
        </w:rPr>
      </w:pPr>
      <w:r>
        <w:rPr>
          <w:rFonts w:hint="eastAsia" w:ascii="宋体" w:hAnsi="宋体" w:cs="宋体"/>
          <w:kern w:val="0"/>
        </w:rPr>
        <w:t>经营期限：</w:t>
      </w:r>
      <w:r>
        <w:rPr>
          <w:rFonts w:hint="eastAsia" w:ascii="宋体" w:hAnsi="宋体" w:cs="宋体"/>
          <w:w w:val="200"/>
          <w:kern w:val="0"/>
          <w:u w:val="single"/>
        </w:rPr>
        <w:t xml:space="preserve"> </w:t>
      </w:r>
      <w:r>
        <w:rPr>
          <w:rFonts w:hint="eastAsia" w:ascii="宋体" w:hAnsi="宋体" w:cs="宋体"/>
          <w:kern w:val="0"/>
          <w:u w:val="single"/>
        </w:rPr>
        <w:tab/>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s="宋体"/>
          <w:kern w:val="0"/>
        </w:rPr>
      </w:pPr>
      <w:r>
        <w:rPr>
          <w:rFonts w:hint="eastAsia" w:ascii="宋体" w:hAnsi="宋体" w:cs="宋体"/>
          <w:kern w:val="0"/>
        </w:rPr>
        <w:t>姓名：</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 xml:space="preserve"> 性别</w:t>
      </w:r>
      <w:r>
        <w:rPr>
          <w:rFonts w:hint="eastAsia" w:ascii="宋体" w:hAnsi="宋体" w:cs="宋体"/>
          <w:spacing w:val="-1"/>
          <w:kern w:val="0"/>
        </w:rPr>
        <w:t>：</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 xml:space="preserve"> </w:t>
      </w:r>
      <w:r>
        <w:rPr>
          <w:rFonts w:hint="eastAsia" w:ascii="宋体" w:hAnsi="宋体" w:cs="宋体"/>
          <w:spacing w:val="-1"/>
          <w:kern w:val="0"/>
        </w:rPr>
        <w:t>年</w:t>
      </w:r>
      <w:r>
        <w:rPr>
          <w:rFonts w:hint="eastAsia" w:ascii="宋体" w:hAnsi="宋体" w:cs="宋体"/>
          <w:kern w:val="0"/>
        </w:rPr>
        <w:t>龄：</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职务：</w:t>
      </w:r>
      <w:r>
        <w:rPr>
          <w:rFonts w:hint="eastAsia" w:ascii="宋体" w:hAnsi="宋体" w:cs="宋体"/>
          <w:w w:val="200"/>
          <w:kern w:val="0"/>
          <w:u w:val="single"/>
        </w:rPr>
        <w:t xml:space="preserve"> </w:t>
      </w:r>
      <w:r>
        <w:rPr>
          <w:rFonts w:hint="eastAsia" w:ascii="宋体" w:hAnsi="宋体" w:cs="宋体"/>
          <w:kern w:val="0"/>
          <w:u w:val="single"/>
        </w:rPr>
        <w:tab/>
      </w:r>
    </w:p>
    <w:p>
      <w:pPr>
        <w:tabs>
          <w:tab w:val="left" w:pos="3360"/>
        </w:tabs>
        <w:autoSpaceDE w:val="0"/>
        <w:autoSpaceDN w:val="0"/>
        <w:adjustRightInd w:val="0"/>
        <w:snapToGrid w:val="0"/>
        <w:spacing w:line="480" w:lineRule="auto"/>
        <w:ind w:firstLine="390" w:firstLineChars="186"/>
        <w:jc w:val="left"/>
        <w:rPr>
          <w:rFonts w:ascii="宋体" w:hAnsi="宋体" w:cs="宋体"/>
          <w:kern w:val="0"/>
        </w:rPr>
      </w:pPr>
      <w:r>
        <w:rPr>
          <w:rFonts w:hint="eastAsia" w:ascii="宋体" w:hAnsi="宋体" w:cs="宋体"/>
          <w:kern w:val="0"/>
        </w:rPr>
        <w:t>系</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 xml:space="preserve"> （投标人名称）的法定代表人。</w:t>
      </w:r>
    </w:p>
    <w:p>
      <w:pPr>
        <w:tabs>
          <w:tab w:val="left" w:pos="3360"/>
        </w:tabs>
        <w:autoSpaceDE w:val="0"/>
        <w:autoSpaceDN w:val="0"/>
        <w:adjustRightInd w:val="0"/>
        <w:snapToGrid w:val="0"/>
        <w:spacing w:line="480" w:lineRule="auto"/>
        <w:ind w:firstLine="390" w:firstLineChars="186"/>
        <w:jc w:val="left"/>
        <w:rPr>
          <w:rFonts w:ascii="宋体" w:hAnsi="宋体" w:cs="宋体"/>
          <w:kern w:val="0"/>
          <w:u w:val="single"/>
        </w:rPr>
      </w:pPr>
      <w:r>
        <w:rPr>
          <w:rFonts w:hint="eastAsia" w:ascii="宋体" w:hAnsi="宋体" w:cs="宋体"/>
          <w:kern w:val="0"/>
        </w:rPr>
        <w:t xml:space="preserve"> </w:t>
      </w:r>
    </w:p>
    <w:p>
      <w:pPr>
        <w:tabs>
          <w:tab w:val="left" w:pos="3360"/>
        </w:tabs>
        <w:autoSpaceDE w:val="0"/>
        <w:autoSpaceDN w:val="0"/>
        <w:adjustRightInd w:val="0"/>
        <w:snapToGrid w:val="0"/>
        <w:spacing w:line="480" w:lineRule="auto"/>
        <w:ind w:firstLine="390" w:firstLineChars="186"/>
        <w:jc w:val="left"/>
        <w:rPr>
          <w:rFonts w:ascii="宋体" w:hAnsi="宋体" w:cs="宋体"/>
          <w:kern w:val="0"/>
        </w:rPr>
      </w:pPr>
      <w:r>
        <w:rPr>
          <w:rFonts w:hint="eastAsia" w:ascii="宋体" w:hAnsi="宋体" w:cs="宋体"/>
          <w:kern w:val="0"/>
        </w:rPr>
        <w:t xml:space="preserve">   特此证明</w:t>
      </w:r>
    </w:p>
    <w:p>
      <w:pPr>
        <w:tabs>
          <w:tab w:val="left" w:pos="3360"/>
        </w:tabs>
        <w:autoSpaceDE w:val="0"/>
        <w:autoSpaceDN w:val="0"/>
        <w:adjustRightInd w:val="0"/>
        <w:snapToGrid w:val="0"/>
        <w:spacing w:line="480" w:lineRule="auto"/>
        <w:ind w:firstLine="390" w:firstLineChars="186"/>
        <w:jc w:val="left"/>
        <w:rPr>
          <w:rFonts w:ascii="宋体" w:hAnsi="宋体" w:cs="宋体"/>
          <w:kern w:val="0"/>
          <w:u w:val="single"/>
        </w:rPr>
      </w:pPr>
    </w:p>
    <w:tbl>
      <w:tblPr>
        <w:tblStyle w:val="54"/>
        <w:tblpPr w:leftFromText="180" w:rightFromText="180" w:vertAnchor="text" w:horzAnchor="margin" w:tblpXSpec="center" w:tblpY="359"/>
        <w:tblW w:w="8044"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022"/>
        <w:gridCol w:w="4022"/>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3105" w:hRule="atLeast"/>
        </w:trPr>
        <w:tc>
          <w:tcPr>
            <w:tcW w:w="4022" w:type="dxa"/>
            <w:tcBorders>
              <w:top w:val="dotDotDash" w:color="auto" w:sz="4" w:space="0"/>
              <w:left w:val="dotDotDash" w:color="auto" w:sz="4" w:space="0"/>
              <w:bottom w:val="dotDotDash" w:color="auto" w:sz="4" w:space="0"/>
              <w:right w:val="dotDotDash" w:color="auto" w:sz="4" w:space="0"/>
            </w:tcBorders>
          </w:tcPr>
          <w:p>
            <w:pPr>
              <w:spacing w:line="520" w:lineRule="exact"/>
              <w:jc w:val="center"/>
              <w:rPr>
                <w:rFonts w:ascii="宋体" w:hAnsi="宋体" w:cs="宋体"/>
              </w:rPr>
            </w:pPr>
            <w:r>
              <w:rPr>
                <w:rFonts w:hint="eastAsia" w:ascii="宋体" w:hAnsi="宋体" w:cs="宋体"/>
              </w:rPr>
              <w:t>附法定代表人身份证</w:t>
            </w:r>
            <w:r>
              <w:rPr>
                <w:rFonts w:hint="eastAsia" w:ascii="宋体" w:hAnsi="宋体"/>
                <w:szCs w:val="21"/>
              </w:rPr>
              <w:t>（第二代）</w:t>
            </w:r>
            <w:r>
              <w:rPr>
                <w:rFonts w:hint="eastAsia" w:ascii="宋体" w:hAnsi="宋体" w:cs="宋体"/>
              </w:rPr>
              <w:t xml:space="preserve">复印件  </w:t>
            </w:r>
            <w:r>
              <w:rPr>
                <w:rFonts w:hint="eastAsia" w:ascii="宋体" w:hAnsi="宋体"/>
                <w:szCs w:val="21"/>
              </w:rPr>
              <w:t>（一面）</w:t>
            </w:r>
          </w:p>
          <w:p>
            <w:pPr>
              <w:spacing w:line="520" w:lineRule="exact"/>
              <w:rPr>
                <w:rFonts w:ascii="宋体" w:hAnsi="宋体" w:cs="宋体"/>
                <w:sz w:val="28"/>
              </w:rPr>
            </w:pPr>
          </w:p>
          <w:p>
            <w:pPr>
              <w:spacing w:line="520" w:lineRule="exact"/>
              <w:rPr>
                <w:rFonts w:ascii="宋体" w:hAnsi="宋体" w:cs="宋体"/>
                <w:sz w:val="28"/>
              </w:rPr>
            </w:pPr>
          </w:p>
          <w:p>
            <w:pPr>
              <w:spacing w:line="520" w:lineRule="exact"/>
              <w:rPr>
                <w:rFonts w:ascii="宋体" w:hAnsi="宋体" w:cs="宋体"/>
                <w:sz w:val="28"/>
              </w:rPr>
            </w:pPr>
          </w:p>
          <w:p>
            <w:pPr>
              <w:spacing w:line="520" w:lineRule="exact"/>
              <w:rPr>
                <w:rFonts w:ascii="宋体" w:hAnsi="宋体" w:cs="宋体"/>
                <w:sz w:val="28"/>
              </w:rPr>
            </w:pPr>
          </w:p>
        </w:tc>
        <w:tc>
          <w:tcPr>
            <w:tcW w:w="4022" w:type="dxa"/>
            <w:tcBorders>
              <w:top w:val="dotDotDash" w:color="auto" w:sz="4" w:space="0"/>
              <w:left w:val="dotDotDash" w:color="auto" w:sz="4" w:space="0"/>
              <w:bottom w:val="dotDotDash" w:color="auto" w:sz="4" w:space="0"/>
              <w:right w:val="dotDotDash" w:color="auto" w:sz="4" w:space="0"/>
            </w:tcBorders>
          </w:tcPr>
          <w:p>
            <w:pPr>
              <w:spacing w:line="520" w:lineRule="exact"/>
              <w:rPr>
                <w:rFonts w:ascii="宋体" w:hAnsi="宋体" w:cs="宋体"/>
                <w:sz w:val="28"/>
              </w:rPr>
            </w:pPr>
            <w:r>
              <w:rPr>
                <w:rFonts w:hint="eastAsia" w:ascii="宋体" w:hAnsi="宋体" w:cs="宋体"/>
              </w:rPr>
              <w:t>附法定代表人身份证</w:t>
            </w:r>
            <w:r>
              <w:rPr>
                <w:rFonts w:hint="eastAsia" w:ascii="宋体" w:hAnsi="宋体"/>
                <w:szCs w:val="21"/>
              </w:rPr>
              <w:t>（第二代）</w:t>
            </w:r>
            <w:r>
              <w:rPr>
                <w:rFonts w:hint="eastAsia" w:ascii="宋体" w:hAnsi="宋体" w:cs="宋体"/>
              </w:rPr>
              <w:t>复印件</w:t>
            </w:r>
          </w:p>
          <w:p>
            <w:pPr>
              <w:spacing w:line="520" w:lineRule="exact"/>
              <w:jc w:val="center"/>
              <w:rPr>
                <w:rFonts w:ascii="宋体" w:hAnsi="宋体" w:cs="宋体"/>
                <w:sz w:val="28"/>
              </w:rPr>
            </w:pPr>
            <w:r>
              <w:rPr>
                <w:rFonts w:hint="eastAsia" w:ascii="宋体" w:hAnsi="宋体"/>
                <w:szCs w:val="21"/>
              </w:rPr>
              <w:t>（另一面）</w:t>
            </w:r>
          </w:p>
          <w:p>
            <w:pPr>
              <w:spacing w:line="520" w:lineRule="exact"/>
              <w:rPr>
                <w:rFonts w:ascii="宋体" w:hAnsi="宋体" w:cs="宋体"/>
                <w:sz w:val="28"/>
              </w:rPr>
            </w:pPr>
          </w:p>
          <w:p>
            <w:pPr>
              <w:spacing w:line="520" w:lineRule="exact"/>
              <w:rPr>
                <w:rFonts w:ascii="宋体" w:hAnsi="宋体" w:cs="宋体"/>
                <w:sz w:val="28"/>
              </w:rPr>
            </w:pPr>
          </w:p>
        </w:tc>
      </w:tr>
    </w:tbl>
    <w:p>
      <w:pPr>
        <w:autoSpaceDE w:val="0"/>
        <w:autoSpaceDN w:val="0"/>
        <w:adjustRightInd w:val="0"/>
        <w:snapToGrid w:val="0"/>
        <w:spacing w:line="360" w:lineRule="auto"/>
        <w:ind w:firstLine="4305" w:firstLineChars="2050"/>
        <w:jc w:val="left"/>
        <w:rPr>
          <w:rFonts w:ascii="宋体" w:hAnsi="宋体" w:cs="宋体"/>
          <w:kern w:val="0"/>
        </w:rPr>
      </w:pPr>
      <w:r>
        <w:rPr>
          <w:rFonts w:hint="eastAsia" w:ascii="宋体" w:hAnsi="宋体" w:cs="宋体"/>
          <w:kern w:val="0"/>
        </w:rPr>
        <w:t>投标</w:t>
      </w:r>
      <w:r>
        <w:rPr>
          <w:rFonts w:hint="eastAsia" w:ascii="宋体" w:hAnsi="宋体" w:cs="宋体"/>
          <w:spacing w:val="-1"/>
          <w:kern w:val="0"/>
        </w:rPr>
        <w:t>人</w:t>
      </w:r>
      <w:r>
        <w:rPr>
          <w:rFonts w:hint="eastAsia" w:ascii="宋体" w:hAnsi="宋体" w:cs="宋体"/>
          <w:kern w:val="0"/>
        </w:rPr>
        <w:t>：</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u w:val="single"/>
        </w:rPr>
        <w:t xml:space="preserve">             </w:t>
      </w:r>
      <w:r>
        <w:rPr>
          <w:rFonts w:hint="eastAsia" w:ascii="宋体" w:hAnsi="宋体" w:cs="宋体"/>
          <w:spacing w:val="-1"/>
          <w:kern w:val="0"/>
        </w:rPr>
        <w:t>（</w:t>
      </w:r>
      <w:r>
        <w:rPr>
          <w:rFonts w:hint="eastAsia" w:ascii="宋体" w:hAnsi="宋体" w:cs="宋体"/>
          <w:kern w:val="0"/>
        </w:rPr>
        <w:t>盖单位公章）</w:t>
      </w:r>
    </w:p>
    <w:p>
      <w:pPr>
        <w:autoSpaceDE w:val="0"/>
        <w:autoSpaceDN w:val="0"/>
        <w:adjustRightInd w:val="0"/>
        <w:snapToGrid w:val="0"/>
        <w:spacing w:line="360" w:lineRule="auto"/>
        <w:ind w:firstLine="4410" w:firstLineChars="1050"/>
        <w:jc w:val="left"/>
        <w:rPr>
          <w:rFonts w:ascii="宋体" w:hAnsi="宋体" w:cs="宋体"/>
          <w:kern w:val="0"/>
        </w:rPr>
      </w:pP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spacing w:val="-1"/>
          <w:kern w:val="0"/>
        </w:rPr>
        <w:t>年</w:t>
      </w:r>
      <w:r>
        <w:rPr>
          <w:rFonts w:hint="eastAsia" w:ascii="宋体" w:hAnsi="宋体" w:cs="宋体"/>
          <w:w w:val="200"/>
          <w:kern w:val="0"/>
          <w:u w:val="single"/>
        </w:rPr>
        <w:t xml:space="preserve">   </w:t>
      </w:r>
      <w:r>
        <w:rPr>
          <w:rFonts w:hint="eastAsia" w:ascii="宋体" w:hAnsi="宋体" w:cs="宋体"/>
          <w:kern w:val="0"/>
        </w:rPr>
        <w:t>月</w:t>
      </w:r>
      <w:r>
        <w:rPr>
          <w:rFonts w:hint="eastAsia" w:ascii="宋体" w:hAnsi="宋体" w:cs="宋体"/>
          <w:w w:val="200"/>
          <w:kern w:val="0"/>
          <w:u w:val="single"/>
        </w:rPr>
        <w:t xml:space="preserve">   </w:t>
      </w:r>
      <w:r>
        <w:rPr>
          <w:rFonts w:hint="eastAsia" w:ascii="宋体" w:hAnsi="宋体" w:cs="宋体"/>
          <w:kern w:val="0"/>
        </w:rPr>
        <w:t>日</w:t>
      </w:r>
    </w:p>
    <w:p>
      <w:pPr>
        <w:autoSpaceDE w:val="0"/>
        <w:autoSpaceDN w:val="0"/>
        <w:adjustRightInd w:val="0"/>
        <w:snapToGrid w:val="0"/>
        <w:spacing w:line="360" w:lineRule="auto"/>
        <w:jc w:val="left"/>
        <w:rPr>
          <w:rFonts w:ascii="宋体" w:hAnsi="宋体" w:cs="宋体"/>
          <w:kern w:val="0"/>
        </w:rPr>
      </w:pPr>
    </w:p>
    <w:p>
      <w:pPr>
        <w:autoSpaceDE w:val="0"/>
        <w:autoSpaceDN w:val="0"/>
        <w:adjustRightInd w:val="0"/>
        <w:snapToGrid w:val="0"/>
        <w:spacing w:line="360" w:lineRule="auto"/>
        <w:jc w:val="left"/>
        <w:rPr>
          <w:rFonts w:ascii="宋体" w:hAnsi="宋体" w:cs="宋体"/>
          <w:kern w:val="0"/>
        </w:rPr>
      </w:pPr>
      <w:r>
        <w:rPr>
          <w:rFonts w:hint="eastAsia" w:ascii="宋体" w:hAnsi="宋体" w:cs="宋体"/>
          <w:kern w:val="0"/>
        </w:rPr>
        <w:t>注：法定代表人身份证明需按上述格式填写完整，不可缺少内容。在此基础上增加内容的不影响其有效性</w:t>
      </w:r>
    </w:p>
    <w:p>
      <w:pPr>
        <w:jc w:val="center"/>
        <w:rPr>
          <w:rFonts w:ascii="宋体" w:hAnsi="宋体" w:cs="宋体"/>
          <w:b/>
          <w:sz w:val="28"/>
          <w:szCs w:val="28"/>
        </w:rPr>
      </w:pPr>
      <w:r>
        <w:rPr>
          <w:rFonts w:ascii="宋体" w:hAnsi="宋体" w:cs="宋体"/>
          <w:b/>
          <w:sz w:val="28"/>
          <w:szCs w:val="28"/>
        </w:rPr>
        <w:br w:type="page"/>
      </w:r>
    </w:p>
    <w:p>
      <w:pPr>
        <w:jc w:val="center"/>
        <w:rPr>
          <w:rFonts w:ascii="宋体" w:hAnsi="宋体" w:cs="宋体"/>
          <w:b/>
          <w:sz w:val="28"/>
          <w:szCs w:val="28"/>
        </w:rPr>
      </w:pPr>
      <w:r>
        <w:rPr>
          <w:rFonts w:hint="eastAsia" w:ascii="宋体" w:hAnsi="宋体" w:cs="宋体"/>
          <w:b/>
          <w:sz w:val="28"/>
          <w:szCs w:val="28"/>
        </w:rPr>
        <w:t>授权委托书</w:t>
      </w:r>
    </w:p>
    <w:p>
      <w:pPr>
        <w:autoSpaceDE w:val="0"/>
        <w:autoSpaceDN w:val="0"/>
        <w:adjustRightInd w:val="0"/>
        <w:snapToGrid w:val="0"/>
        <w:spacing w:line="360" w:lineRule="auto"/>
        <w:jc w:val="left"/>
        <w:rPr>
          <w:rFonts w:ascii="宋体" w:hAnsi="宋体" w:cs="宋体"/>
          <w:kern w:val="0"/>
          <w:sz w:val="19"/>
          <w:szCs w:val="19"/>
        </w:rPr>
      </w:pP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rPr>
      </w:pPr>
      <w:r>
        <w:rPr>
          <w:rFonts w:hint="eastAsia" w:ascii="宋体" w:hAnsi="宋体" w:cs="宋体"/>
          <w:kern w:val="0"/>
        </w:rPr>
        <w:t>本人</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（姓名）系</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w:t>
      </w:r>
      <w:r>
        <w:rPr>
          <w:rFonts w:hint="eastAsia" w:ascii="宋体" w:hAnsi="宋体" w:cs="宋体"/>
          <w:spacing w:val="-1"/>
          <w:kern w:val="0"/>
        </w:rPr>
        <w:t>投</w:t>
      </w:r>
      <w:r>
        <w:rPr>
          <w:rFonts w:hint="eastAsia" w:ascii="宋体" w:hAnsi="宋体" w:cs="宋体"/>
          <w:kern w:val="0"/>
        </w:rPr>
        <w:t>标人名称</w:t>
      </w:r>
      <w:r>
        <w:rPr>
          <w:rFonts w:hint="eastAsia" w:ascii="宋体" w:hAnsi="宋体" w:cs="宋体"/>
          <w:spacing w:val="1"/>
          <w:kern w:val="0"/>
        </w:rPr>
        <w:t>）</w:t>
      </w:r>
      <w:r>
        <w:rPr>
          <w:rFonts w:hint="eastAsia" w:ascii="宋体" w:hAnsi="宋体" w:cs="宋体"/>
          <w:kern w:val="0"/>
        </w:rPr>
        <w:t>的法定代</w:t>
      </w:r>
      <w:r>
        <w:rPr>
          <w:rFonts w:hint="eastAsia" w:ascii="宋体" w:hAnsi="宋体" w:cs="宋体"/>
          <w:spacing w:val="1"/>
          <w:kern w:val="0"/>
        </w:rPr>
        <w:t>表</w:t>
      </w:r>
      <w:r>
        <w:rPr>
          <w:rFonts w:hint="eastAsia" w:ascii="宋体" w:hAnsi="宋体" w:cs="宋体"/>
          <w:kern w:val="0"/>
        </w:rPr>
        <w:t>人，现委托</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（姓名）为我方代理人。代理人根据授权，以我方名义签署、澄清、说明、补正、递交、撤回、 修改</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（项</w:t>
      </w:r>
      <w:r>
        <w:rPr>
          <w:rFonts w:hint="eastAsia" w:ascii="宋体" w:hAnsi="宋体" w:cs="宋体"/>
          <w:spacing w:val="-1"/>
          <w:kern w:val="0"/>
        </w:rPr>
        <w:t>目</w:t>
      </w:r>
      <w:r>
        <w:rPr>
          <w:rFonts w:hint="eastAsia" w:ascii="宋体" w:hAnsi="宋体" w:cs="宋体"/>
          <w:kern w:val="0"/>
        </w:rPr>
        <w:t>名称）施工投标文件、签订合同和处理有关事宜， 其法律后果由我方承担。</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rPr>
      </w:pPr>
      <w:r>
        <w:rPr>
          <w:rFonts w:hint="eastAsia" w:ascii="宋体" w:hAnsi="宋体" w:cs="宋体"/>
          <w:kern w:val="0"/>
        </w:rPr>
        <w:t>委托期限：</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 xml:space="preserve">。 </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rPr>
      </w:pP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rPr>
      </w:pPr>
      <w:r>
        <w:rPr>
          <w:rFonts w:hint="eastAsia" w:ascii="宋体" w:hAnsi="宋体" w:cs="宋体"/>
          <w:kern w:val="0"/>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rPr>
      </w:pPr>
      <w:r>
        <w:rPr>
          <w:rFonts w:hint="eastAsia" w:ascii="宋体" w:hAnsi="宋体" w:cs="宋体"/>
          <w:kern w:val="0"/>
        </w:rPr>
        <w:t>附：法定代表人身份证明。</w:t>
      </w:r>
    </w:p>
    <w:p>
      <w:pPr>
        <w:autoSpaceDE w:val="0"/>
        <w:autoSpaceDN w:val="0"/>
        <w:adjustRightInd w:val="0"/>
        <w:snapToGrid w:val="0"/>
        <w:spacing w:line="360" w:lineRule="auto"/>
        <w:jc w:val="left"/>
        <w:rPr>
          <w:rFonts w:ascii="宋体" w:hAnsi="宋体" w:cs="宋体"/>
          <w:kern w:val="0"/>
        </w:rPr>
      </w:pPr>
    </w:p>
    <w:p>
      <w:pPr>
        <w:tabs>
          <w:tab w:val="left" w:pos="4200"/>
          <w:tab w:val="left" w:pos="4620"/>
        </w:tabs>
        <w:autoSpaceDE w:val="0"/>
        <w:autoSpaceDN w:val="0"/>
        <w:adjustRightInd w:val="0"/>
        <w:snapToGrid w:val="0"/>
        <w:spacing w:line="360" w:lineRule="auto"/>
        <w:ind w:firstLine="1694"/>
        <w:jc w:val="left"/>
        <w:rPr>
          <w:rFonts w:ascii="宋体" w:hAnsi="宋体" w:cs="宋体"/>
          <w:kern w:val="0"/>
        </w:rPr>
      </w:pPr>
      <w:r>
        <w:rPr>
          <w:rFonts w:hint="eastAsia" w:ascii="宋体" w:hAnsi="宋体" w:cs="宋体"/>
          <w:kern w:val="0"/>
        </w:rPr>
        <w:t>投  标  人：</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u w:val="single"/>
        </w:rPr>
        <w:t xml:space="preserve">    </w:t>
      </w:r>
      <w:r>
        <w:rPr>
          <w:rFonts w:hint="eastAsia" w:ascii="宋体" w:hAnsi="宋体" w:cs="宋体"/>
          <w:kern w:val="0"/>
        </w:rPr>
        <w:t>（</w:t>
      </w:r>
      <w:r>
        <w:rPr>
          <w:rFonts w:hint="eastAsia" w:ascii="宋体" w:hAnsi="宋体" w:cs="宋体"/>
          <w:spacing w:val="-1"/>
          <w:kern w:val="0"/>
        </w:rPr>
        <w:t>盖</w:t>
      </w:r>
      <w:r>
        <w:rPr>
          <w:rFonts w:hint="eastAsia" w:ascii="宋体" w:hAnsi="宋体" w:cs="宋体"/>
          <w:kern w:val="0"/>
        </w:rPr>
        <w:t xml:space="preserve">单位公章） </w:t>
      </w:r>
    </w:p>
    <w:p>
      <w:pPr>
        <w:tabs>
          <w:tab w:val="left" w:pos="6300"/>
        </w:tabs>
        <w:autoSpaceDE w:val="0"/>
        <w:autoSpaceDN w:val="0"/>
        <w:adjustRightInd w:val="0"/>
        <w:snapToGrid w:val="0"/>
        <w:spacing w:line="360" w:lineRule="auto"/>
        <w:ind w:firstLine="1680"/>
        <w:jc w:val="left"/>
        <w:rPr>
          <w:rFonts w:ascii="宋体" w:hAnsi="宋体" w:cs="宋体"/>
          <w:kern w:val="0"/>
        </w:rPr>
      </w:pPr>
      <w:r>
        <w:rPr>
          <w:rFonts w:hint="eastAsia" w:ascii="宋体" w:hAnsi="宋体" w:cs="宋体"/>
          <w:kern w:val="0"/>
        </w:rPr>
        <w:t>法定代表人：</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rPr>
        <w:t>（签字）</w:t>
      </w:r>
    </w:p>
    <w:p>
      <w:pPr>
        <w:tabs>
          <w:tab w:val="left" w:pos="5260"/>
        </w:tabs>
        <w:autoSpaceDE w:val="0"/>
        <w:autoSpaceDN w:val="0"/>
        <w:adjustRightInd w:val="0"/>
        <w:snapToGrid w:val="0"/>
        <w:spacing w:line="360" w:lineRule="auto"/>
        <w:ind w:firstLine="1680"/>
        <w:jc w:val="left"/>
        <w:rPr>
          <w:rFonts w:ascii="宋体" w:hAnsi="宋体" w:cs="宋体"/>
          <w:kern w:val="0"/>
        </w:rPr>
      </w:pPr>
      <w:r>
        <w:rPr>
          <w:rFonts w:hint="eastAsia" w:ascii="宋体" w:hAnsi="宋体" w:cs="宋体"/>
          <w:kern w:val="0"/>
        </w:rPr>
        <w:t>身份证号码：</w:t>
      </w:r>
      <w:r>
        <w:rPr>
          <w:rFonts w:hint="eastAsia" w:ascii="宋体" w:hAnsi="宋体" w:cs="宋体"/>
          <w:w w:val="200"/>
          <w:kern w:val="0"/>
          <w:u w:val="single"/>
        </w:rPr>
        <w:t xml:space="preserve">                 </w:t>
      </w:r>
      <w:r>
        <w:rPr>
          <w:rFonts w:hint="eastAsia" w:ascii="宋体" w:hAnsi="宋体" w:cs="宋体"/>
          <w:kern w:val="0"/>
          <w:u w:val="single"/>
        </w:rPr>
        <w:tab/>
      </w:r>
    </w:p>
    <w:p>
      <w:pPr>
        <w:tabs>
          <w:tab w:val="left" w:pos="6720"/>
        </w:tabs>
        <w:autoSpaceDE w:val="0"/>
        <w:autoSpaceDN w:val="0"/>
        <w:adjustRightInd w:val="0"/>
        <w:snapToGrid w:val="0"/>
        <w:spacing w:line="360" w:lineRule="auto"/>
        <w:ind w:firstLine="1680"/>
        <w:jc w:val="left"/>
        <w:rPr>
          <w:rFonts w:ascii="宋体" w:hAnsi="宋体" w:cs="宋体"/>
          <w:kern w:val="0"/>
        </w:rPr>
      </w:pPr>
      <w:r>
        <w:rPr>
          <w:rFonts w:hint="eastAsia" w:ascii="宋体" w:hAnsi="宋体" w:cs="宋体"/>
          <w:kern w:val="0"/>
        </w:rPr>
        <w:t>委托代理人：</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（签</w:t>
      </w:r>
      <w:r>
        <w:rPr>
          <w:rFonts w:hint="eastAsia" w:ascii="宋体" w:hAnsi="宋体" w:cs="宋体"/>
          <w:spacing w:val="-1"/>
          <w:kern w:val="0"/>
        </w:rPr>
        <w:t>字</w:t>
      </w:r>
      <w:r>
        <w:rPr>
          <w:rFonts w:hint="eastAsia" w:ascii="宋体" w:hAnsi="宋体" w:cs="宋体"/>
          <w:kern w:val="0"/>
        </w:rPr>
        <w:t>）</w:t>
      </w:r>
    </w:p>
    <w:p>
      <w:pPr>
        <w:tabs>
          <w:tab w:val="left" w:pos="6825"/>
        </w:tabs>
        <w:autoSpaceDE w:val="0"/>
        <w:autoSpaceDN w:val="0"/>
        <w:adjustRightInd w:val="0"/>
        <w:snapToGrid w:val="0"/>
        <w:spacing w:line="360" w:lineRule="auto"/>
        <w:ind w:firstLine="1680"/>
        <w:jc w:val="left"/>
        <w:rPr>
          <w:rFonts w:ascii="宋体" w:hAnsi="宋体" w:cs="宋体"/>
          <w:kern w:val="0"/>
          <w:u w:val="single"/>
        </w:rPr>
      </w:pPr>
      <w:r>
        <w:rPr>
          <w:rFonts w:hint="eastAsia" w:ascii="宋体" w:hAnsi="宋体" w:cs="宋体"/>
          <w:kern w:val="0"/>
        </w:rPr>
        <w:t>身份证号码：</w:t>
      </w:r>
      <w:r>
        <w:rPr>
          <w:rFonts w:hint="eastAsia" w:ascii="宋体" w:hAnsi="宋体" w:cs="宋体"/>
          <w:w w:val="200"/>
          <w:kern w:val="0"/>
          <w:u w:val="single"/>
        </w:rPr>
        <w:t xml:space="preserve"> </w:t>
      </w:r>
      <w:r>
        <w:rPr>
          <w:rFonts w:hint="eastAsia" w:ascii="宋体" w:hAnsi="宋体" w:cs="宋体"/>
          <w:kern w:val="0"/>
          <w:u w:val="single"/>
        </w:rPr>
        <w:tab/>
      </w:r>
    </w:p>
    <w:p>
      <w:pPr>
        <w:tabs>
          <w:tab w:val="left" w:pos="6825"/>
        </w:tabs>
        <w:autoSpaceDE w:val="0"/>
        <w:autoSpaceDN w:val="0"/>
        <w:adjustRightInd w:val="0"/>
        <w:snapToGrid w:val="0"/>
        <w:spacing w:line="360" w:lineRule="auto"/>
        <w:ind w:firstLine="1680"/>
        <w:jc w:val="left"/>
        <w:rPr>
          <w:rFonts w:ascii="宋体" w:hAnsi="宋体" w:cs="宋体"/>
          <w:kern w:val="0"/>
        </w:rPr>
      </w:pPr>
    </w:p>
    <w:tbl>
      <w:tblPr>
        <w:tblStyle w:val="54"/>
        <w:tblW w:w="8691" w:type="dxa"/>
        <w:tblInd w:w="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5"/>
        <w:gridCol w:w="4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trPr>
        <w:tc>
          <w:tcPr>
            <w:tcW w:w="4305" w:type="dxa"/>
            <w:tcBorders>
              <w:top w:val="single" w:color="auto" w:sz="4" w:space="0"/>
              <w:left w:val="single" w:color="auto" w:sz="4" w:space="0"/>
              <w:bottom w:val="single" w:color="auto" w:sz="4" w:space="0"/>
              <w:right w:val="single" w:color="auto" w:sz="4" w:space="0"/>
            </w:tcBorders>
          </w:tcPr>
          <w:p>
            <w:pPr>
              <w:spacing w:line="520" w:lineRule="exact"/>
              <w:jc w:val="center"/>
              <w:rPr>
                <w:rFonts w:ascii="宋体" w:hAnsi="宋体" w:cs="宋体"/>
                <w:sz w:val="28"/>
              </w:rPr>
            </w:pPr>
            <w:r>
              <w:rPr>
                <w:rFonts w:hint="eastAsia" w:ascii="宋体" w:hAnsi="宋体" w:cs="宋体"/>
                <w:kern w:val="0"/>
              </w:rPr>
              <w:t>附委托代理人身份证</w:t>
            </w:r>
            <w:r>
              <w:rPr>
                <w:rFonts w:hint="eastAsia" w:ascii="宋体" w:hAnsi="宋体"/>
                <w:szCs w:val="21"/>
              </w:rPr>
              <w:t>（第二代）</w:t>
            </w:r>
            <w:r>
              <w:rPr>
                <w:rFonts w:hint="eastAsia" w:ascii="宋体" w:hAnsi="宋体" w:cs="宋体"/>
                <w:kern w:val="0"/>
              </w:rPr>
              <w:t xml:space="preserve">复印件    </w:t>
            </w:r>
            <w:r>
              <w:rPr>
                <w:rFonts w:hint="eastAsia" w:ascii="宋体" w:hAnsi="宋体"/>
                <w:szCs w:val="21"/>
              </w:rPr>
              <w:t>（一面）</w:t>
            </w:r>
          </w:p>
        </w:tc>
        <w:tc>
          <w:tcPr>
            <w:tcW w:w="4386" w:type="dxa"/>
            <w:tcBorders>
              <w:top w:val="single" w:color="auto" w:sz="4" w:space="0"/>
              <w:left w:val="single" w:color="auto" w:sz="4" w:space="0"/>
              <w:bottom w:val="single" w:color="auto" w:sz="4" w:space="0"/>
              <w:right w:val="single" w:color="auto" w:sz="4" w:space="0"/>
            </w:tcBorders>
          </w:tcPr>
          <w:p>
            <w:pPr>
              <w:spacing w:line="520" w:lineRule="exact"/>
              <w:jc w:val="center"/>
              <w:rPr>
                <w:rFonts w:ascii="宋体" w:hAnsi="宋体" w:cs="宋体"/>
                <w:sz w:val="28"/>
              </w:rPr>
            </w:pPr>
            <w:r>
              <w:rPr>
                <w:rFonts w:hint="eastAsia" w:ascii="宋体" w:hAnsi="宋体" w:cs="宋体"/>
                <w:kern w:val="0"/>
              </w:rPr>
              <w:t>附委托代理人身份证</w:t>
            </w:r>
            <w:r>
              <w:rPr>
                <w:rFonts w:hint="eastAsia" w:ascii="宋体" w:hAnsi="宋体"/>
                <w:szCs w:val="21"/>
              </w:rPr>
              <w:t>（第二代）</w:t>
            </w:r>
            <w:r>
              <w:rPr>
                <w:rFonts w:hint="eastAsia" w:ascii="宋体" w:hAnsi="宋体" w:cs="宋体"/>
                <w:kern w:val="0"/>
              </w:rPr>
              <w:t xml:space="preserve">复印件      </w:t>
            </w:r>
            <w:r>
              <w:rPr>
                <w:rFonts w:hint="eastAsia" w:ascii="宋体" w:hAnsi="宋体"/>
                <w:szCs w:val="21"/>
              </w:rPr>
              <w:t>（另一面）</w:t>
            </w:r>
          </w:p>
          <w:p>
            <w:pPr>
              <w:spacing w:line="520" w:lineRule="exact"/>
              <w:jc w:val="center"/>
              <w:rPr>
                <w:rFonts w:ascii="宋体" w:hAnsi="宋体" w:cs="宋体"/>
                <w:sz w:val="28"/>
              </w:rPr>
            </w:pPr>
          </w:p>
        </w:tc>
      </w:tr>
    </w:tbl>
    <w:p>
      <w:pPr>
        <w:autoSpaceDE w:val="0"/>
        <w:autoSpaceDN w:val="0"/>
        <w:adjustRightInd w:val="0"/>
        <w:snapToGrid w:val="0"/>
        <w:spacing w:line="360" w:lineRule="auto"/>
        <w:jc w:val="left"/>
        <w:rPr>
          <w:rFonts w:ascii="宋体" w:hAnsi="宋体" w:cs="宋体"/>
          <w:kern w:val="0"/>
        </w:rPr>
      </w:pPr>
    </w:p>
    <w:p>
      <w:pPr>
        <w:tabs>
          <w:tab w:val="left" w:pos="4005"/>
          <w:tab w:val="left" w:pos="4100"/>
          <w:tab w:val="left" w:pos="5040"/>
        </w:tabs>
        <w:autoSpaceDE w:val="0"/>
        <w:autoSpaceDN w:val="0"/>
        <w:adjustRightInd w:val="0"/>
        <w:snapToGrid w:val="0"/>
        <w:spacing w:line="360" w:lineRule="auto"/>
        <w:ind w:firstLine="3780"/>
        <w:jc w:val="left"/>
        <w:rPr>
          <w:rFonts w:ascii="宋体" w:hAnsi="宋体" w:cs="宋体"/>
          <w:kern w:val="0"/>
        </w:rPr>
      </w:pP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年</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月</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日</w:t>
      </w:r>
    </w:p>
    <w:p>
      <w:pPr>
        <w:autoSpaceDE w:val="0"/>
        <w:autoSpaceDN w:val="0"/>
        <w:adjustRightInd w:val="0"/>
        <w:snapToGrid w:val="0"/>
        <w:spacing w:line="360" w:lineRule="auto"/>
        <w:jc w:val="left"/>
        <w:rPr>
          <w:rFonts w:ascii="宋体" w:hAnsi="宋体" w:cs="宋体"/>
          <w:kern w:val="0"/>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203200</wp:posOffset>
                </wp:positionV>
                <wp:extent cx="2867025" cy="0"/>
                <wp:effectExtent l="0" t="0" r="0" b="0"/>
                <wp:wrapNone/>
                <wp:docPr id="3" name="Line 2"/>
                <wp:cNvGraphicFramePr/>
                <a:graphic xmlns:a="http://schemas.openxmlformats.org/drawingml/2006/main">
                  <a:graphicData uri="http://schemas.microsoft.com/office/word/2010/wordprocessingShape">
                    <wps:wsp>
                      <wps:cNvCnPr/>
                      <wps:spPr>
                        <a:xfrm>
                          <a:off x="0" y="0"/>
                          <a:ext cx="2867025"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Line 2" o:spid="_x0000_s1026" o:spt="20" style="position:absolute;left:0pt;margin-left:0pt;margin-top:16pt;height:0pt;width:225.75pt;z-index:251660288;mso-width-relative:page;mso-height-relative:page;" filled="f" stroked="t" coordsize="21600,21600" o:gfxdata="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bdqt7WAAAABgEAAA8AAAAAAAAAAQAgAAAAIgAA&#10;AGRycy9kb3ducmV2LnhtbFBLAQIUABQAAAAIAIdO4kBmc8fe0QEAAM0DAAAOAAAAAAAAAAEAIAAA&#10;ACUBAABkcnMvZTJvRG9jLnhtbFBLBQYAAAAABgAGAFkBAABoBQAAAAA=&#10;">
                <v:fill on="f" focussize="0,0"/>
                <v:stroke weight="0.25pt" color="#000000" joinstyle="round"/>
                <v:imagedata o:title=""/>
                <o:lock v:ext="edit" aspectratio="f"/>
              </v:line>
            </w:pict>
          </mc:Fallback>
        </mc:AlternateContent>
      </w:r>
    </w:p>
    <w:p>
      <w:pPr>
        <w:tabs>
          <w:tab w:val="left" w:pos="5760"/>
        </w:tabs>
        <w:autoSpaceDE w:val="0"/>
        <w:autoSpaceDN w:val="0"/>
        <w:adjustRightInd w:val="0"/>
        <w:spacing w:line="300" w:lineRule="exact"/>
        <w:ind w:left="735" w:right="11" w:hanging="735" w:hangingChars="350"/>
        <w:rPr>
          <w:rFonts w:ascii="宋体" w:hAnsi="宋体" w:cs="宋体"/>
          <w:kern w:val="0"/>
        </w:rPr>
      </w:pPr>
      <w:r>
        <w:rPr>
          <w:rFonts w:hint="eastAsia" w:ascii="宋体" w:hAnsi="宋体" w:cs="宋体"/>
          <w:kern w:val="0"/>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300" w:lineRule="exact"/>
        <w:ind w:left="762" w:leftChars="213" w:right="11" w:hanging="315" w:hangingChars="150"/>
        <w:rPr>
          <w:rFonts w:ascii="宋体" w:hAnsi="宋体" w:cs="宋体"/>
          <w:kern w:val="0"/>
        </w:rPr>
      </w:pPr>
      <w:r>
        <w:rPr>
          <w:rFonts w:hint="eastAsia" w:ascii="宋体" w:hAnsi="宋体" w:cs="宋体"/>
          <w:kern w:val="0"/>
        </w:rPr>
        <w:t>2、法定代表人身份证明及授权委托书原件装入投标文件一并递交。另外须准备一份在开标现场出具，否则将现场退还其投标文件。</w:t>
      </w:r>
    </w:p>
    <w:p>
      <w:pPr>
        <w:rPr>
          <w:rFonts w:hAnsi="宋体"/>
          <w:b/>
          <w:snapToGrid w:val="0"/>
          <w:sz w:val="28"/>
          <w:szCs w:val="24"/>
        </w:rPr>
      </w:pPr>
    </w:p>
    <w:p>
      <w:pPr>
        <w:pStyle w:val="2"/>
        <w:rPr>
          <w:rFonts w:hAnsi="宋体"/>
          <w:b/>
          <w:snapToGrid w:val="0"/>
          <w:sz w:val="28"/>
          <w:szCs w:val="24"/>
        </w:rPr>
      </w:pPr>
    </w:p>
    <w:p>
      <w:pPr>
        <w:pStyle w:val="3"/>
        <w:rPr>
          <w:rFonts w:hAnsi="宋体"/>
          <w:b/>
          <w:snapToGrid w:val="0"/>
          <w:sz w:val="28"/>
          <w:szCs w:val="24"/>
        </w:rPr>
      </w:pPr>
    </w:p>
    <w:p>
      <w:pPr>
        <w:rPr>
          <w:rFonts w:hAnsi="宋体"/>
          <w:b/>
          <w:snapToGrid w:val="0"/>
          <w:sz w:val="28"/>
          <w:szCs w:val="24"/>
        </w:rPr>
      </w:pPr>
    </w:p>
    <w:p>
      <w:pPr>
        <w:pStyle w:val="2"/>
        <w:rPr>
          <w:rFonts w:hAnsi="宋体"/>
          <w:b/>
          <w:snapToGrid w:val="0"/>
          <w:sz w:val="28"/>
          <w:szCs w:val="24"/>
        </w:rPr>
      </w:pPr>
    </w:p>
    <w:p>
      <w:pPr>
        <w:pStyle w:val="3"/>
        <w:rPr>
          <w:rFonts w:hAnsi="宋体"/>
          <w:b/>
          <w:snapToGrid w:val="0"/>
          <w:sz w:val="28"/>
          <w:szCs w:val="24"/>
        </w:rPr>
      </w:pPr>
    </w:p>
    <w:p>
      <w:pPr>
        <w:rPr>
          <w:rFonts w:hAnsi="宋体"/>
          <w:b/>
          <w:snapToGrid w:val="0"/>
          <w:sz w:val="28"/>
          <w:szCs w:val="24"/>
        </w:rPr>
      </w:pPr>
    </w:p>
    <w:p>
      <w:pPr>
        <w:pStyle w:val="2"/>
        <w:rPr>
          <w:rFonts w:hAnsi="宋体"/>
          <w:b/>
          <w:snapToGrid w:val="0"/>
          <w:sz w:val="28"/>
          <w:szCs w:val="24"/>
        </w:rPr>
      </w:pPr>
    </w:p>
    <w:p>
      <w:pPr>
        <w:pStyle w:val="3"/>
        <w:rPr>
          <w:rFonts w:hAnsi="宋体"/>
          <w:b/>
          <w:snapToGrid w:val="0"/>
          <w:sz w:val="28"/>
          <w:szCs w:val="24"/>
        </w:rPr>
      </w:pPr>
    </w:p>
    <w:p>
      <w:pPr>
        <w:pStyle w:val="6"/>
        <w:spacing w:before="0" w:after="0" w:line="240" w:lineRule="auto"/>
        <w:jc w:val="center"/>
        <w:rPr>
          <w:rFonts w:ascii="宋体" w:hAnsi="宋体"/>
          <w:b w:val="0"/>
        </w:rPr>
      </w:pPr>
      <w:bookmarkStart w:id="1375" w:name="_Toc44424103"/>
      <w:bookmarkStart w:id="1376" w:name="_Toc287607887"/>
      <w:bookmarkStart w:id="1377" w:name="_Toc277082659"/>
      <w:r>
        <w:rPr>
          <w:rFonts w:hint="eastAsia" w:ascii="宋体" w:hAnsi="宋体"/>
          <w:b w:val="0"/>
        </w:rPr>
        <w:t>（二）投标人基本情况表</w:t>
      </w:r>
      <w:bookmarkEnd w:id="1375"/>
    </w:p>
    <w:tbl>
      <w:tblPr>
        <w:tblStyle w:val="54"/>
        <w:tblW w:w="9469"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投标人名称</w:t>
            </w:r>
          </w:p>
        </w:tc>
        <w:tc>
          <w:tcPr>
            <w:tcW w:w="7607"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注册地址</w:t>
            </w:r>
          </w:p>
        </w:tc>
        <w:tc>
          <w:tcPr>
            <w:tcW w:w="3450" w:type="dxa"/>
            <w:gridSpan w:val="5"/>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邮政编码</w:t>
            </w:r>
          </w:p>
        </w:tc>
        <w:tc>
          <w:tcPr>
            <w:tcW w:w="2765"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联系方式</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联系人</w:t>
            </w:r>
          </w:p>
        </w:tc>
        <w:tc>
          <w:tcPr>
            <w:tcW w:w="2483" w:type="dxa"/>
            <w:gridSpan w:val="4"/>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电话</w:t>
            </w:r>
          </w:p>
        </w:tc>
        <w:tc>
          <w:tcPr>
            <w:tcW w:w="2765"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pPr>
              <w:autoSpaceDE w:val="0"/>
              <w:autoSpaceDN w:val="0"/>
              <w:adjustRightInd w:val="0"/>
              <w:snapToGrid w:val="0"/>
              <w:jc w:val="center"/>
              <w:rPr>
                <w:rFonts w:ascii="宋体" w:hAnsi="宋体"/>
                <w:kern w:val="0"/>
                <w:szCs w:val="21"/>
              </w:rPr>
            </w:pPr>
          </w:p>
        </w:tc>
        <w:tc>
          <w:tcPr>
            <w:tcW w:w="967" w:type="dxa"/>
            <w:vAlign w:val="center"/>
          </w:tcPr>
          <w:p>
            <w:pPr>
              <w:tabs>
                <w:tab w:val="left" w:pos="540"/>
              </w:tabs>
              <w:autoSpaceDE w:val="0"/>
              <w:autoSpaceDN w:val="0"/>
              <w:adjustRightInd w:val="0"/>
              <w:snapToGrid w:val="0"/>
              <w:jc w:val="center"/>
              <w:rPr>
                <w:rFonts w:ascii="宋体" w:hAnsi="宋体"/>
                <w:kern w:val="0"/>
                <w:szCs w:val="21"/>
              </w:rPr>
            </w:pPr>
            <w:r>
              <w:rPr>
                <w:rFonts w:hint="eastAsia" w:ascii="宋体" w:hAnsi="宋体" w:cs="MingLiU"/>
                <w:kern w:val="0"/>
                <w:szCs w:val="21"/>
              </w:rPr>
              <w:t>传  真</w:t>
            </w:r>
          </w:p>
        </w:tc>
        <w:tc>
          <w:tcPr>
            <w:tcW w:w="2483" w:type="dxa"/>
            <w:gridSpan w:val="4"/>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网址</w:t>
            </w:r>
          </w:p>
        </w:tc>
        <w:tc>
          <w:tcPr>
            <w:tcW w:w="2765"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组织结构</w:t>
            </w:r>
          </w:p>
        </w:tc>
        <w:tc>
          <w:tcPr>
            <w:tcW w:w="7607"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法定代表人</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vAlign w:val="center"/>
          </w:tcPr>
          <w:p>
            <w:pPr>
              <w:autoSpaceDE w:val="0"/>
              <w:autoSpaceDN w:val="0"/>
              <w:adjustRightInd w:val="0"/>
              <w:snapToGrid w:val="0"/>
              <w:jc w:val="center"/>
              <w:rPr>
                <w:rFonts w:ascii="宋体" w:hAnsi="宋体"/>
                <w:kern w:val="0"/>
                <w:szCs w:val="21"/>
              </w:rPr>
            </w:pPr>
          </w:p>
        </w:tc>
        <w:tc>
          <w:tcPr>
            <w:tcW w:w="1356" w:type="dxa"/>
            <w:gridSpan w:val="2"/>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vAlign w:val="center"/>
          </w:tcPr>
          <w:p>
            <w:pPr>
              <w:autoSpaceDE w:val="0"/>
              <w:autoSpaceDN w:val="0"/>
              <w:adjustRightInd w:val="0"/>
              <w:snapToGrid w:val="0"/>
              <w:jc w:val="center"/>
              <w:rPr>
                <w:rFonts w:ascii="宋体" w:hAnsi="宋体"/>
                <w:kern w:val="0"/>
                <w:szCs w:val="21"/>
              </w:rPr>
            </w:pPr>
          </w:p>
        </w:tc>
        <w:tc>
          <w:tcPr>
            <w:tcW w:w="92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311"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技术负责人</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vAlign w:val="center"/>
          </w:tcPr>
          <w:p>
            <w:pPr>
              <w:autoSpaceDE w:val="0"/>
              <w:autoSpaceDN w:val="0"/>
              <w:adjustRightInd w:val="0"/>
              <w:snapToGrid w:val="0"/>
              <w:jc w:val="center"/>
              <w:rPr>
                <w:rFonts w:ascii="宋体" w:hAnsi="宋体"/>
                <w:kern w:val="0"/>
                <w:szCs w:val="21"/>
              </w:rPr>
            </w:pPr>
          </w:p>
        </w:tc>
        <w:tc>
          <w:tcPr>
            <w:tcW w:w="1356" w:type="dxa"/>
            <w:gridSpan w:val="2"/>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vAlign w:val="center"/>
          </w:tcPr>
          <w:p>
            <w:pPr>
              <w:autoSpaceDE w:val="0"/>
              <w:autoSpaceDN w:val="0"/>
              <w:adjustRightInd w:val="0"/>
              <w:snapToGrid w:val="0"/>
              <w:jc w:val="center"/>
              <w:rPr>
                <w:rFonts w:ascii="宋体" w:hAnsi="宋体"/>
                <w:kern w:val="0"/>
                <w:szCs w:val="21"/>
              </w:rPr>
            </w:pPr>
          </w:p>
        </w:tc>
        <w:tc>
          <w:tcPr>
            <w:tcW w:w="92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311"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成立时间</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5616" w:type="dxa"/>
            <w:gridSpan w:val="7"/>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员工总人数：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企业资质等级</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其中</w:t>
            </w: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项目经理</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营业执照号</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高级职称人员</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注册资金</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中级职称人员</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开户银行</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初级职称人员</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账号</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tabs>
                <w:tab w:val="left" w:pos="1240"/>
              </w:tabs>
              <w:autoSpaceDE w:val="0"/>
              <w:autoSpaceDN w:val="0"/>
              <w:adjustRightInd w:val="0"/>
              <w:snapToGrid w:val="0"/>
              <w:jc w:val="center"/>
              <w:rPr>
                <w:rFonts w:ascii="宋体" w:hAnsi="宋体"/>
                <w:kern w:val="0"/>
                <w:szCs w:val="21"/>
              </w:rPr>
            </w:pPr>
            <w:r>
              <w:rPr>
                <w:rFonts w:hint="eastAsia" w:ascii="宋体" w:hAnsi="宋体" w:cs="MingLiU"/>
                <w:kern w:val="0"/>
                <w:szCs w:val="21"/>
              </w:rPr>
              <w:t>技</w:t>
            </w:r>
            <w:r>
              <w:rPr>
                <w:rFonts w:ascii="宋体" w:hAnsi="宋体"/>
                <w:kern w:val="0"/>
                <w:szCs w:val="21"/>
              </w:rPr>
              <w:tab/>
            </w:r>
            <w:r>
              <w:rPr>
                <w:rFonts w:hint="eastAsia" w:ascii="宋体" w:hAnsi="宋体" w:cs="MingLiU"/>
                <w:kern w:val="0"/>
                <w:szCs w:val="21"/>
              </w:rPr>
              <w:t>工</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经营范围</w:t>
            </w:r>
          </w:p>
        </w:tc>
        <w:tc>
          <w:tcPr>
            <w:tcW w:w="7607"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c>
          <w:tcPr>
            <w:tcW w:w="7607" w:type="dxa"/>
            <w:gridSpan w:val="9"/>
            <w:vAlign w:val="center"/>
          </w:tcPr>
          <w:p>
            <w:pPr>
              <w:autoSpaceDE w:val="0"/>
              <w:autoSpaceDN w:val="0"/>
              <w:adjustRightInd w:val="0"/>
              <w:snapToGrid w:val="0"/>
              <w:jc w:val="center"/>
              <w:rPr>
                <w:rFonts w:ascii="宋体" w:hAnsi="宋体"/>
                <w:kern w:val="0"/>
                <w:szCs w:val="21"/>
              </w:rPr>
            </w:pPr>
          </w:p>
        </w:tc>
      </w:tr>
    </w:tbl>
    <w:p>
      <w:pPr>
        <w:spacing w:line="360" w:lineRule="auto"/>
        <w:jc w:val="center"/>
        <w:rPr>
          <w:rFonts w:ascii="宋体" w:hAnsi="宋体"/>
          <w:szCs w:val="21"/>
        </w:rPr>
      </w:pPr>
    </w:p>
    <w:p>
      <w:pPr>
        <w:pStyle w:val="6"/>
        <w:spacing w:before="0" w:after="0" w:line="240" w:lineRule="auto"/>
        <w:jc w:val="center"/>
        <w:rPr>
          <w:rFonts w:ascii="宋体" w:hAnsi="宋体"/>
          <w:b w:val="0"/>
        </w:rPr>
      </w:pPr>
      <w:bookmarkStart w:id="1378" w:name="_Toc534185840"/>
      <w:bookmarkStart w:id="1379" w:name="_Toc44424104"/>
      <w:bookmarkStart w:id="1380" w:name="_Toc509218863"/>
    </w:p>
    <w:p>
      <w:pPr>
        <w:pStyle w:val="6"/>
        <w:spacing w:before="0" w:after="0" w:line="240" w:lineRule="auto"/>
        <w:jc w:val="center"/>
        <w:rPr>
          <w:rFonts w:ascii="宋体" w:hAnsi="宋体"/>
          <w:b w:val="0"/>
        </w:rPr>
      </w:pPr>
      <w:r>
        <w:rPr>
          <w:rFonts w:hint="eastAsia" w:ascii="宋体" w:hAnsi="宋体"/>
          <w:b w:val="0"/>
        </w:rPr>
        <w:t>（三）项目管理机构</w:t>
      </w:r>
      <w:bookmarkEnd w:id="1378"/>
      <w:bookmarkEnd w:id="1379"/>
      <w:bookmarkEnd w:id="1380"/>
    </w:p>
    <w:p>
      <w:pPr>
        <w:spacing w:line="360" w:lineRule="auto"/>
        <w:rPr>
          <w:rFonts w:ascii="宋体" w:hAnsi="宋体"/>
        </w:rPr>
      </w:pPr>
    </w:p>
    <w:p>
      <w:pPr>
        <w:autoSpaceDE w:val="0"/>
        <w:autoSpaceDN w:val="0"/>
        <w:adjustRightInd w:val="0"/>
        <w:snapToGrid w:val="0"/>
        <w:spacing w:line="360" w:lineRule="auto"/>
        <w:jc w:val="center"/>
        <w:rPr>
          <w:rFonts w:ascii="宋体" w:hAnsi="宋体" w:cs="MingLiU"/>
          <w:kern w:val="0"/>
          <w:sz w:val="28"/>
          <w:szCs w:val="28"/>
        </w:rPr>
      </w:pPr>
      <w:r>
        <w:rPr>
          <w:rFonts w:hint="eastAsia" w:ascii="宋体" w:hAnsi="宋体" w:cs="MingLiU"/>
          <w:kern w:val="0"/>
          <w:sz w:val="28"/>
          <w:szCs w:val="28"/>
        </w:rPr>
        <w:t>项目管理机构组成表</w:t>
      </w:r>
    </w:p>
    <w:tbl>
      <w:tblPr>
        <w:tblStyle w:val="54"/>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职务</w:t>
            </w:r>
          </w:p>
        </w:tc>
        <w:tc>
          <w:tcPr>
            <w:tcW w:w="734"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姓名</w:t>
            </w:r>
          </w:p>
        </w:tc>
        <w:tc>
          <w:tcPr>
            <w:tcW w:w="776"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职称</w:t>
            </w:r>
          </w:p>
        </w:tc>
        <w:tc>
          <w:tcPr>
            <w:tcW w:w="6220" w:type="dxa"/>
            <w:gridSpan w:val="5"/>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执业或职业资格证明</w:t>
            </w:r>
          </w:p>
        </w:tc>
        <w:tc>
          <w:tcPr>
            <w:tcW w:w="896"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pPr>
              <w:autoSpaceDE w:val="0"/>
              <w:autoSpaceDN w:val="0"/>
              <w:adjustRightInd w:val="0"/>
              <w:snapToGrid w:val="0"/>
              <w:jc w:val="left"/>
              <w:rPr>
                <w:rFonts w:ascii="宋体" w:hAnsi="宋体"/>
                <w:kern w:val="0"/>
                <w:szCs w:val="21"/>
              </w:rPr>
            </w:pPr>
          </w:p>
        </w:tc>
        <w:tc>
          <w:tcPr>
            <w:tcW w:w="734" w:type="dxa"/>
            <w:vMerge w:val="continue"/>
          </w:tcPr>
          <w:p>
            <w:pPr>
              <w:autoSpaceDE w:val="0"/>
              <w:autoSpaceDN w:val="0"/>
              <w:adjustRightInd w:val="0"/>
              <w:snapToGrid w:val="0"/>
              <w:jc w:val="left"/>
              <w:rPr>
                <w:rFonts w:ascii="宋体" w:hAnsi="宋体"/>
                <w:kern w:val="0"/>
                <w:szCs w:val="21"/>
              </w:rPr>
            </w:pPr>
          </w:p>
        </w:tc>
        <w:tc>
          <w:tcPr>
            <w:tcW w:w="776" w:type="dxa"/>
            <w:vMerge w:val="continue"/>
          </w:tcPr>
          <w:p>
            <w:pPr>
              <w:autoSpaceDE w:val="0"/>
              <w:autoSpaceDN w:val="0"/>
              <w:adjustRightInd w:val="0"/>
              <w:snapToGrid w:val="0"/>
              <w:jc w:val="left"/>
              <w:rPr>
                <w:rFonts w:ascii="宋体" w:hAnsi="宋体"/>
                <w:kern w:val="0"/>
                <w:szCs w:val="21"/>
              </w:rPr>
            </w:pPr>
          </w:p>
        </w:tc>
        <w:tc>
          <w:tcPr>
            <w:tcW w:w="11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证书名称</w:t>
            </w:r>
          </w:p>
        </w:tc>
        <w:tc>
          <w:tcPr>
            <w:tcW w:w="776"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级别</w:t>
            </w:r>
          </w:p>
        </w:tc>
        <w:tc>
          <w:tcPr>
            <w:tcW w:w="778"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证号</w:t>
            </w:r>
          </w:p>
        </w:tc>
        <w:tc>
          <w:tcPr>
            <w:tcW w:w="776"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专业</w:t>
            </w:r>
          </w:p>
        </w:tc>
        <w:tc>
          <w:tcPr>
            <w:tcW w:w="2723"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养老保险</w:t>
            </w: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项目经理</w:t>
            </w: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项目技术负责人</w:t>
            </w: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bl>
    <w:p>
      <w:pPr>
        <w:spacing w:line="20" w:lineRule="exact"/>
        <w:jc w:val="center"/>
        <w:rPr>
          <w:rFonts w:ascii="宋体" w:hAnsi="宋体"/>
          <w:szCs w:val="21"/>
        </w:rPr>
      </w:pPr>
    </w:p>
    <w:p>
      <w:pPr>
        <w:spacing w:line="360" w:lineRule="auto"/>
        <w:ind w:firstLine="420" w:firstLineChars="200"/>
        <w:jc w:val="center"/>
        <w:rPr>
          <w:rFonts w:ascii="宋体" w:hAnsi="宋体"/>
          <w:sz w:val="32"/>
          <w:szCs w:val="32"/>
        </w:rPr>
      </w:pPr>
      <w:r>
        <w:rPr>
          <w:rFonts w:hint="eastAsia" w:ascii="宋体" w:hAnsi="宋体"/>
          <w:szCs w:val="21"/>
        </w:rPr>
        <w:t>备注：本表仅填项目经理、项目技术负责人相关信息</w:t>
      </w:r>
      <w:r>
        <w:rPr>
          <w:rFonts w:ascii="宋体" w:hAnsi="宋体"/>
          <w:sz w:val="32"/>
          <w:szCs w:val="32"/>
        </w:rPr>
        <w:br w:type="page"/>
      </w:r>
      <w:r>
        <w:rPr>
          <w:rFonts w:hint="eastAsia" w:ascii="宋体" w:hAnsi="宋体"/>
          <w:sz w:val="32"/>
          <w:szCs w:val="32"/>
        </w:rPr>
        <w:t>主要人员简历表</w:t>
      </w:r>
      <w:bookmarkEnd w:id="1376"/>
      <w:bookmarkEnd w:id="1377"/>
    </w:p>
    <w:tbl>
      <w:tblPr>
        <w:tblStyle w:val="54"/>
        <w:tblW w:w="9565"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姓名</w:t>
            </w:r>
          </w:p>
        </w:tc>
        <w:tc>
          <w:tcPr>
            <w:tcW w:w="1190" w:type="dxa"/>
            <w:gridSpan w:val="2"/>
            <w:vAlign w:val="center"/>
          </w:tcPr>
          <w:p>
            <w:pPr>
              <w:autoSpaceDE w:val="0"/>
              <w:autoSpaceDN w:val="0"/>
              <w:adjustRightInd w:val="0"/>
              <w:snapToGrid w:val="0"/>
              <w:jc w:val="center"/>
              <w:rPr>
                <w:rFonts w:ascii="宋体" w:hAnsi="宋体"/>
                <w:kern w:val="0"/>
                <w:szCs w:val="21"/>
              </w:rPr>
            </w:pPr>
          </w:p>
        </w:tc>
        <w:tc>
          <w:tcPr>
            <w:tcW w:w="1020"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年龄</w:t>
            </w:r>
          </w:p>
        </w:tc>
        <w:tc>
          <w:tcPr>
            <w:tcW w:w="1175" w:type="dxa"/>
            <w:vAlign w:val="center"/>
          </w:tcPr>
          <w:p>
            <w:pPr>
              <w:autoSpaceDE w:val="0"/>
              <w:autoSpaceDN w:val="0"/>
              <w:adjustRightInd w:val="0"/>
              <w:snapToGrid w:val="0"/>
              <w:jc w:val="center"/>
              <w:rPr>
                <w:rFonts w:ascii="宋体" w:hAnsi="宋体"/>
                <w:kern w:val="0"/>
                <w:szCs w:val="21"/>
              </w:rPr>
            </w:pPr>
          </w:p>
        </w:tc>
        <w:tc>
          <w:tcPr>
            <w:tcW w:w="2346" w:type="dxa"/>
            <w:gridSpan w:val="3"/>
            <w:vAlign w:val="center"/>
          </w:tcPr>
          <w:p>
            <w:pPr>
              <w:autoSpaceDE w:val="0"/>
              <w:autoSpaceDN w:val="0"/>
              <w:adjustRightInd w:val="0"/>
              <w:snapToGrid w:val="0"/>
              <w:jc w:val="center"/>
              <w:rPr>
                <w:rFonts w:ascii="宋体" w:hAnsi="宋体"/>
                <w:kern w:val="0"/>
                <w:szCs w:val="21"/>
              </w:rPr>
            </w:pPr>
            <w:r>
              <w:rPr>
                <w:rFonts w:ascii="宋体" w:hAnsi="宋体"/>
                <w:kern w:val="0"/>
                <w:szCs w:val="21"/>
              </w:rPr>
              <w:t>学历</w:t>
            </w:r>
          </w:p>
        </w:tc>
        <w:tc>
          <w:tcPr>
            <w:tcW w:w="2528"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职称</w:t>
            </w:r>
          </w:p>
        </w:tc>
        <w:tc>
          <w:tcPr>
            <w:tcW w:w="1190" w:type="dxa"/>
            <w:gridSpan w:val="2"/>
            <w:vAlign w:val="center"/>
          </w:tcPr>
          <w:p>
            <w:pPr>
              <w:autoSpaceDE w:val="0"/>
              <w:autoSpaceDN w:val="0"/>
              <w:adjustRightInd w:val="0"/>
              <w:snapToGrid w:val="0"/>
              <w:jc w:val="center"/>
              <w:rPr>
                <w:rFonts w:ascii="宋体" w:hAnsi="宋体"/>
                <w:kern w:val="0"/>
                <w:szCs w:val="21"/>
              </w:rPr>
            </w:pPr>
          </w:p>
        </w:tc>
        <w:tc>
          <w:tcPr>
            <w:tcW w:w="1020"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职务</w:t>
            </w:r>
          </w:p>
        </w:tc>
        <w:tc>
          <w:tcPr>
            <w:tcW w:w="1175" w:type="dxa"/>
            <w:vAlign w:val="center"/>
          </w:tcPr>
          <w:p>
            <w:pPr>
              <w:autoSpaceDE w:val="0"/>
              <w:autoSpaceDN w:val="0"/>
              <w:adjustRightInd w:val="0"/>
              <w:snapToGrid w:val="0"/>
              <w:jc w:val="center"/>
              <w:rPr>
                <w:rFonts w:ascii="宋体" w:hAnsi="宋体"/>
                <w:kern w:val="0"/>
                <w:szCs w:val="21"/>
              </w:rPr>
            </w:pPr>
          </w:p>
        </w:tc>
        <w:tc>
          <w:tcPr>
            <w:tcW w:w="2346" w:type="dxa"/>
            <w:gridSpan w:val="3"/>
            <w:vAlign w:val="center"/>
          </w:tcPr>
          <w:p>
            <w:pPr>
              <w:autoSpaceDE w:val="0"/>
              <w:autoSpaceDN w:val="0"/>
              <w:adjustRightInd w:val="0"/>
              <w:snapToGrid w:val="0"/>
              <w:jc w:val="center"/>
              <w:rPr>
                <w:rFonts w:ascii="宋体" w:hAnsi="宋体"/>
                <w:kern w:val="0"/>
                <w:szCs w:val="21"/>
              </w:rPr>
            </w:pPr>
            <w:r>
              <w:rPr>
                <w:rFonts w:ascii="宋体" w:hAnsi="宋体"/>
                <w:kern w:val="0"/>
                <w:szCs w:val="21"/>
              </w:rPr>
              <w:t>拟在本合同任职</w:t>
            </w:r>
          </w:p>
        </w:tc>
        <w:tc>
          <w:tcPr>
            <w:tcW w:w="2528"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毕业学校</w:t>
            </w:r>
          </w:p>
        </w:tc>
        <w:tc>
          <w:tcPr>
            <w:tcW w:w="8259" w:type="dxa"/>
            <w:gridSpan w:val="8"/>
            <w:vAlign w:val="center"/>
          </w:tcPr>
          <w:p>
            <w:pPr>
              <w:tabs>
                <w:tab w:val="left" w:pos="2820"/>
                <w:tab w:val="left" w:pos="4080"/>
              </w:tabs>
              <w:autoSpaceDE w:val="0"/>
              <w:autoSpaceDN w:val="0"/>
              <w:adjustRightInd w:val="0"/>
              <w:snapToGrid w:val="0"/>
              <w:jc w:val="center"/>
              <w:rPr>
                <w:rFonts w:ascii="宋体" w:hAnsi="宋体"/>
                <w:kern w:val="0"/>
                <w:szCs w:val="21"/>
              </w:rPr>
            </w:pPr>
            <w:r>
              <w:rPr>
                <w:rFonts w:ascii="宋体" w:hAnsi="宋体"/>
                <w:kern w:val="0"/>
                <w:szCs w:val="21"/>
              </w:rPr>
              <w:t>年</w:t>
            </w:r>
            <w:r>
              <w:rPr>
                <w:rFonts w:ascii="宋体" w:hAnsi="宋体"/>
                <w:spacing w:val="-1"/>
                <w:kern w:val="0"/>
                <w:szCs w:val="21"/>
              </w:rPr>
              <w:t>毕</w:t>
            </w:r>
            <w:r>
              <w:rPr>
                <w:rFonts w:ascii="宋体" w:hAnsi="宋体"/>
                <w:kern w:val="0"/>
                <w:szCs w:val="21"/>
              </w:rPr>
              <w:t>业于</w:t>
            </w:r>
            <w:r>
              <w:rPr>
                <w:rFonts w:ascii="宋体" w:hAnsi="宋体"/>
                <w:kern w:val="0"/>
                <w:szCs w:val="21"/>
              </w:rPr>
              <w:tab/>
            </w:r>
            <w:r>
              <w:rPr>
                <w:rFonts w:ascii="宋体" w:hAnsi="宋体"/>
                <w:kern w:val="0"/>
                <w:szCs w:val="21"/>
              </w:rPr>
              <w:t>学校</w:t>
            </w:r>
            <w:r>
              <w:rPr>
                <w:rFonts w:ascii="宋体" w:hAnsi="宋体"/>
                <w:kern w:val="0"/>
                <w:szCs w:val="21"/>
              </w:rPr>
              <w:tab/>
            </w:r>
            <w:r>
              <w:rPr>
                <w:rFonts w:ascii="宋体" w:hAnsi="宋体"/>
                <w:kern w:val="0"/>
                <w:szCs w:val="21"/>
              </w:rPr>
              <w:t>专业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pPr>
              <w:autoSpaceDE w:val="0"/>
              <w:autoSpaceDN w:val="0"/>
              <w:adjustRightInd w:val="0"/>
              <w:snapToGrid w:val="0"/>
              <w:jc w:val="center"/>
              <w:rPr>
                <w:rFonts w:ascii="宋体" w:hAnsi="宋体"/>
                <w:kern w:val="0"/>
                <w:szCs w:val="21"/>
              </w:rPr>
            </w:pPr>
            <w:r>
              <w:rPr>
                <w:rFonts w:ascii="宋体" w:hAnsi="宋体"/>
                <w:kern w:val="0"/>
                <w:szCs w:val="21"/>
              </w:rPr>
              <w:t>主要工作经历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时间</w:t>
            </w:r>
          </w:p>
        </w:tc>
        <w:tc>
          <w:tcPr>
            <w:tcW w:w="3768" w:type="dxa"/>
            <w:gridSpan w:val="4"/>
            <w:vAlign w:val="center"/>
          </w:tcPr>
          <w:p>
            <w:pPr>
              <w:autoSpaceDE w:val="0"/>
              <w:autoSpaceDN w:val="0"/>
              <w:adjustRightInd w:val="0"/>
              <w:snapToGrid w:val="0"/>
              <w:jc w:val="center"/>
              <w:rPr>
                <w:rFonts w:ascii="宋体" w:hAnsi="宋体"/>
                <w:kern w:val="0"/>
                <w:szCs w:val="21"/>
              </w:rPr>
            </w:pPr>
            <w:r>
              <w:rPr>
                <w:rFonts w:ascii="宋体" w:hAnsi="宋体"/>
                <w:kern w:val="0"/>
                <w:szCs w:val="21"/>
              </w:rPr>
              <w:t>参加过的类似项目</w:t>
            </w:r>
          </w:p>
        </w:tc>
        <w:tc>
          <w:tcPr>
            <w:tcW w:w="1388"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担任职务</w:t>
            </w:r>
          </w:p>
        </w:tc>
        <w:tc>
          <w:tcPr>
            <w:tcW w:w="2706" w:type="dxa"/>
            <w:gridSpan w:val="2"/>
            <w:vAlign w:val="center"/>
          </w:tcPr>
          <w:p>
            <w:pPr>
              <w:autoSpaceDE w:val="0"/>
              <w:autoSpaceDN w:val="0"/>
              <w:adjustRightInd w:val="0"/>
              <w:snapToGrid w:val="0"/>
              <w:jc w:val="center"/>
              <w:rPr>
                <w:rFonts w:ascii="宋体" w:hAnsi="宋体"/>
                <w:kern w:val="0"/>
                <w:szCs w:val="21"/>
              </w:rPr>
            </w:pPr>
            <w:r>
              <w:rPr>
                <w:rFonts w:ascii="宋体" w:hAnsi="宋体"/>
                <w:kern w:val="0"/>
                <w:szCs w:val="21"/>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bl>
    <w:p/>
    <w:p>
      <w:pPr>
        <w:rPr>
          <w:rFonts w:hAnsi="宋体"/>
          <w:b/>
          <w:snapToGrid w:val="0"/>
          <w:sz w:val="28"/>
          <w:szCs w:val="24"/>
        </w:rPr>
      </w:pPr>
    </w:p>
    <w:p>
      <w:pPr>
        <w:rPr>
          <w:rFonts w:hAnsi="宋体"/>
          <w:b/>
          <w:snapToGrid w:val="0"/>
          <w:sz w:val="28"/>
          <w:szCs w:val="24"/>
        </w:rPr>
      </w:pPr>
    </w:p>
    <w:p>
      <w:pPr>
        <w:pStyle w:val="6"/>
        <w:spacing w:before="0" w:line="360" w:lineRule="auto"/>
        <w:jc w:val="center"/>
        <w:rPr>
          <w:rFonts w:ascii="宋体" w:hAnsi="宋体"/>
          <w:b w:val="0"/>
        </w:rPr>
      </w:pPr>
    </w:p>
    <w:p>
      <w:pPr>
        <w:pStyle w:val="6"/>
        <w:spacing w:before="0" w:line="360" w:lineRule="auto"/>
        <w:jc w:val="center"/>
        <w:rPr>
          <w:rFonts w:ascii="宋体" w:hAnsi="宋体"/>
          <w:b w:val="0"/>
        </w:rPr>
      </w:pPr>
      <w:r>
        <w:rPr>
          <w:rFonts w:hint="eastAsia" w:ascii="宋体" w:hAnsi="宋体"/>
          <w:b w:val="0"/>
        </w:rPr>
        <w:t>（四）</w:t>
      </w:r>
      <w:r>
        <w:rPr>
          <w:rFonts w:ascii="宋体" w:hAnsi="宋体"/>
          <w:b w:val="0"/>
        </w:rPr>
        <w:t>投标截止日投标资格情况</w:t>
      </w:r>
    </w:p>
    <w:p>
      <w:pPr>
        <w:pStyle w:val="6"/>
        <w:spacing w:before="0" w:line="360" w:lineRule="auto"/>
        <w:jc w:val="center"/>
        <w:rPr>
          <w:rFonts w:ascii="宋体" w:hAnsi="宋体"/>
          <w:b w:val="0"/>
        </w:rPr>
      </w:pPr>
      <w:r>
        <w:rPr>
          <w:rFonts w:hint="eastAsia" w:ascii="宋体" w:hAnsi="宋体"/>
          <w:b w:val="0"/>
        </w:rPr>
        <w:t>格式自拟</w:t>
      </w:r>
    </w:p>
    <w:p>
      <w:pPr>
        <w:rPr>
          <w:rFonts w:hAnsi="宋体"/>
          <w:b/>
          <w:snapToGrid w:val="0"/>
          <w:sz w:val="28"/>
          <w:szCs w:val="24"/>
        </w:rPr>
      </w:pPr>
    </w:p>
    <w:p>
      <w:pPr>
        <w:pStyle w:val="2"/>
        <w:rPr>
          <w:rFonts w:hAnsi="宋体"/>
          <w:b/>
          <w:snapToGrid w:val="0"/>
          <w:sz w:val="28"/>
          <w:szCs w:val="24"/>
        </w:rPr>
      </w:pPr>
    </w:p>
    <w:p>
      <w:pPr>
        <w:pStyle w:val="3"/>
        <w:rPr>
          <w:rFonts w:hAnsi="宋体"/>
          <w:b/>
          <w:snapToGrid w:val="0"/>
          <w:sz w:val="28"/>
          <w:szCs w:val="24"/>
        </w:rPr>
      </w:pPr>
    </w:p>
    <w:p>
      <w:pPr>
        <w:rPr>
          <w:rFonts w:hAnsi="宋体"/>
          <w:b/>
          <w:snapToGrid w:val="0"/>
          <w:sz w:val="28"/>
          <w:szCs w:val="24"/>
        </w:rPr>
      </w:pPr>
    </w:p>
    <w:p>
      <w:pPr>
        <w:pStyle w:val="2"/>
        <w:rPr>
          <w:rFonts w:hAnsi="宋体"/>
          <w:b/>
          <w:snapToGrid w:val="0"/>
          <w:sz w:val="28"/>
          <w:szCs w:val="24"/>
        </w:rPr>
      </w:pPr>
    </w:p>
    <w:p>
      <w:pPr>
        <w:pStyle w:val="3"/>
        <w:rPr>
          <w:rFonts w:hAnsi="宋体"/>
          <w:b/>
          <w:snapToGrid w:val="0"/>
          <w:sz w:val="28"/>
          <w:szCs w:val="24"/>
        </w:rPr>
      </w:pPr>
    </w:p>
    <w:p>
      <w:pPr>
        <w:rPr>
          <w:rFonts w:hAnsi="宋体"/>
          <w:b/>
          <w:snapToGrid w:val="0"/>
          <w:sz w:val="28"/>
          <w:szCs w:val="24"/>
        </w:rPr>
      </w:pPr>
    </w:p>
    <w:p>
      <w:pPr>
        <w:pStyle w:val="2"/>
        <w:rPr>
          <w:rFonts w:hAnsi="宋体"/>
          <w:b/>
          <w:snapToGrid w:val="0"/>
          <w:sz w:val="28"/>
          <w:szCs w:val="24"/>
        </w:rPr>
      </w:pPr>
    </w:p>
    <w:p>
      <w:pPr>
        <w:pStyle w:val="3"/>
        <w:rPr>
          <w:rFonts w:hAnsi="宋体"/>
          <w:b/>
          <w:snapToGrid w:val="0"/>
          <w:sz w:val="28"/>
          <w:szCs w:val="24"/>
        </w:rPr>
      </w:pPr>
    </w:p>
    <w:p>
      <w:pPr>
        <w:rPr>
          <w:rFonts w:hAnsi="宋体"/>
          <w:b/>
          <w:snapToGrid w:val="0"/>
          <w:sz w:val="28"/>
          <w:szCs w:val="24"/>
        </w:rPr>
      </w:pPr>
    </w:p>
    <w:p>
      <w:pPr>
        <w:pStyle w:val="2"/>
        <w:rPr>
          <w:rFonts w:hAnsi="宋体"/>
          <w:b/>
          <w:snapToGrid w:val="0"/>
          <w:sz w:val="28"/>
          <w:szCs w:val="24"/>
        </w:rPr>
      </w:pPr>
    </w:p>
    <w:p>
      <w:pPr>
        <w:pStyle w:val="3"/>
        <w:rPr>
          <w:rFonts w:hAnsi="宋体"/>
          <w:b/>
          <w:snapToGrid w:val="0"/>
          <w:sz w:val="28"/>
          <w:szCs w:val="24"/>
        </w:rPr>
      </w:pPr>
    </w:p>
    <w:p>
      <w:pPr>
        <w:rPr>
          <w:rFonts w:hAnsi="宋体"/>
          <w:b/>
          <w:snapToGrid w:val="0"/>
          <w:sz w:val="28"/>
          <w:szCs w:val="24"/>
        </w:rPr>
      </w:pPr>
    </w:p>
    <w:p>
      <w:pPr>
        <w:pStyle w:val="2"/>
        <w:rPr>
          <w:rFonts w:hAnsi="宋体"/>
          <w:b/>
          <w:snapToGrid w:val="0"/>
          <w:sz w:val="28"/>
          <w:szCs w:val="24"/>
        </w:rPr>
      </w:pPr>
    </w:p>
    <w:p>
      <w:pPr>
        <w:pStyle w:val="3"/>
        <w:rPr>
          <w:rFonts w:hAnsi="宋体"/>
          <w:b/>
          <w:snapToGrid w:val="0"/>
          <w:sz w:val="28"/>
          <w:szCs w:val="24"/>
        </w:rPr>
      </w:pPr>
    </w:p>
    <w:p>
      <w:pPr>
        <w:rPr>
          <w:rFonts w:hAnsi="宋体"/>
          <w:b/>
          <w:snapToGrid w:val="0"/>
          <w:sz w:val="28"/>
          <w:szCs w:val="24"/>
        </w:rPr>
      </w:pPr>
    </w:p>
    <w:p>
      <w:pPr>
        <w:pStyle w:val="2"/>
        <w:rPr>
          <w:rFonts w:hAnsi="宋体"/>
          <w:b/>
          <w:snapToGrid w:val="0"/>
          <w:sz w:val="28"/>
          <w:szCs w:val="24"/>
        </w:rPr>
      </w:pPr>
    </w:p>
    <w:p>
      <w:pPr>
        <w:pStyle w:val="3"/>
        <w:rPr>
          <w:rFonts w:hAnsi="宋体"/>
          <w:b/>
          <w:snapToGrid w:val="0"/>
          <w:sz w:val="28"/>
          <w:szCs w:val="24"/>
        </w:rPr>
      </w:pPr>
    </w:p>
    <w:p>
      <w:pPr>
        <w:rPr>
          <w:rFonts w:hAnsi="宋体"/>
          <w:b/>
          <w:snapToGrid w:val="0"/>
          <w:sz w:val="28"/>
          <w:szCs w:val="24"/>
        </w:rPr>
      </w:pPr>
    </w:p>
    <w:p>
      <w:pPr>
        <w:pStyle w:val="2"/>
        <w:rPr>
          <w:rFonts w:hAnsi="宋体"/>
          <w:b/>
          <w:snapToGrid w:val="0"/>
          <w:sz w:val="28"/>
          <w:szCs w:val="24"/>
        </w:rPr>
      </w:pPr>
    </w:p>
    <w:p>
      <w:pPr>
        <w:pStyle w:val="3"/>
        <w:rPr>
          <w:rFonts w:hAnsi="宋体"/>
          <w:b/>
          <w:snapToGrid w:val="0"/>
          <w:sz w:val="28"/>
          <w:szCs w:val="24"/>
        </w:rPr>
      </w:pPr>
    </w:p>
    <w:p>
      <w:pPr>
        <w:rPr>
          <w:rFonts w:hAnsi="宋体"/>
          <w:b/>
          <w:snapToGrid w:val="0"/>
          <w:sz w:val="28"/>
          <w:szCs w:val="24"/>
        </w:rPr>
      </w:pPr>
    </w:p>
    <w:p>
      <w:pPr>
        <w:pStyle w:val="2"/>
        <w:rPr>
          <w:rFonts w:hAnsi="宋体"/>
          <w:b/>
          <w:snapToGrid w:val="0"/>
          <w:sz w:val="28"/>
          <w:szCs w:val="24"/>
        </w:rPr>
      </w:pPr>
    </w:p>
    <w:p>
      <w:pPr>
        <w:pStyle w:val="3"/>
        <w:rPr>
          <w:rFonts w:hAnsi="宋体"/>
          <w:b/>
          <w:snapToGrid w:val="0"/>
          <w:sz w:val="28"/>
          <w:szCs w:val="24"/>
        </w:rPr>
      </w:pPr>
    </w:p>
    <w:p>
      <w:pPr>
        <w:rPr>
          <w:rFonts w:hAnsi="宋体"/>
          <w:b/>
          <w:snapToGrid w:val="0"/>
          <w:sz w:val="28"/>
          <w:szCs w:val="24"/>
        </w:rPr>
      </w:pPr>
    </w:p>
    <w:p>
      <w:pPr>
        <w:pStyle w:val="2"/>
        <w:rPr>
          <w:rFonts w:hAnsi="宋体"/>
          <w:b/>
          <w:snapToGrid w:val="0"/>
          <w:sz w:val="28"/>
          <w:szCs w:val="24"/>
        </w:rPr>
      </w:pPr>
    </w:p>
    <w:p>
      <w:pPr>
        <w:pStyle w:val="3"/>
        <w:rPr>
          <w:rFonts w:hAnsi="宋体"/>
          <w:b/>
          <w:snapToGrid w:val="0"/>
          <w:sz w:val="28"/>
          <w:szCs w:val="24"/>
        </w:rPr>
      </w:pPr>
    </w:p>
    <w:p>
      <w:pPr>
        <w:rPr>
          <w:rFonts w:hAnsi="宋体"/>
          <w:b/>
          <w:snapToGrid w:val="0"/>
          <w:sz w:val="28"/>
          <w:szCs w:val="24"/>
        </w:rPr>
      </w:pPr>
    </w:p>
    <w:p>
      <w:pPr>
        <w:pStyle w:val="2"/>
        <w:rPr>
          <w:rFonts w:hAnsi="宋体"/>
          <w:b/>
          <w:snapToGrid w:val="0"/>
          <w:sz w:val="28"/>
          <w:szCs w:val="24"/>
        </w:rPr>
      </w:pPr>
    </w:p>
    <w:p>
      <w:pPr>
        <w:pStyle w:val="3"/>
        <w:rPr>
          <w:rFonts w:hAnsi="宋体"/>
          <w:b/>
          <w:snapToGrid w:val="0"/>
          <w:sz w:val="28"/>
          <w:szCs w:val="24"/>
        </w:rPr>
      </w:pPr>
    </w:p>
    <w:p>
      <w:pPr>
        <w:rPr>
          <w:rFonts w:hAnsi="宋体"/>
          <w:b/>
          <w:snapToGrid w:val="0"/>
          <w:sz w:val="28"/>
          <w:szCs w:val="24"/>
        </w:rPr>
      </w:pPr>
    </w:p>
    <w:p>
      <w:pPr>
        <w:pStyle w:val="2"/>
        <w:rPr>
          <w:rFonts w:hAnsi="宋体"/>
          <w:b/>
          <w:snapToGrid w:val="0"/>
          <w:sz w:val="28"/>
          <w:szCs w:val="24"/>
        </w:rPr>
      </w:pPr>
    </w:p>
    <w:p>
      <w:pPr>
        <w:pStyle w:val="6"/>
        <w:spacing w:before="0" w:line="360" w:lineRule="auto"/>
        <w:jc w:val="center"/>
        <w:rPr>
          <w:rFonts w:ascii="宋体" w:hAnsi="宋体"/>
          <w:b w:val="0"/>
          <w:szCs w:val="22"/>
        </w:rPr>
      </w:pPr>
      <w:r>
        <w:rPr>
          <w:rFonts w:hint="eastAsia" w:ascii="宋体" w:hAnsi="宋体"/>
          <w:b w:val="0"/>
          <w:szCs w:val="22"/>
        </w:rPr>
        <w:t>（五）其他资料</w:t>
      </w:r>
    </w:p>
    <w:p>
      <w:pPr>
        <w:pStyle w:val="6"/>
        <w:spacing w:before="0" w:line="360" w:lineRule="auto"/>
        <w:jc w:val="center"/>
        <w:rPr>
          <w:rFonts w:ascii="宋体" w:hAnsi="宋体"/>
          <w:b w:val="0"/>
          <w:szCs w:val="22"/>
        </w:rPr>
      </w:pPr>
      <w:r>
        <w:rPr>
          <w:rFonts w:hint="eastAsia" w:ascii="宋体" w:hAnsi="宋体"/>
          <w:b w:val="0"/>
          <w:szCs w:val="22"/>
        </w:rPr>
        <w:t xml:space="preserve">   格式自拟</w:t>
      </w:r>
    </w:p>
    <w:p>
      <w:pPr>
        <w:rPr>
          <w:rFonts w:ascii="宋体" w:hAnsi="宋体"/>
          <w:szCs w:val="22"/>
        </w:rPr>
      </w:pPr>
    </w:p>
    <w:p>
      <w:pPr>
        <w:pStyle w:val="2"/>
        <w:rPr>
          <w:rFonts w:ascii="宋体" w:hAnsi="宋体"/>
          <w:szCs w:val="22"/>
        </w:rPr>
      </w:pPr>
    </w:p>
    <w:p>
      <w:pPr>
        <w:pStyle w:val="3"/>
        <w:rPr>
          <w:rFonts w:ascii="宋体" w:hAnsi="宋体"/>
          <w:szCs w:val="22"/>
        </w:rPr>
      </w:pPr>
    </w:p>
    <w:p>
      <w:pPr>
        <w:rPr>
          <w:rFonts w:ascii="宋体" w:hAnsi="宋体"/>
          <w:szCs w:val="22"/>
        </w:rPr>
      </w:pPr>
    </w:p>
    <w:p>
      <w:pPr>
        <w:pStyle w:val="2"/>
        <w:rPr>
          <w:rFonts w:ascii="宋体" w:hAnsi="宋体"/>
          <w:szCs w:val="22"/>
        </w:rPr>
      </w:pPr>
    </w:p>
    <w:p>
      <w:pPr>
        <w:pStyle w:val="3"/>
        <w:rPr>
          <w:rFonts w:ascii="宋体" w:hAnsi="宋体"/>
          <w:szCs w:val="22"/>
        </w:rPr>
      </w:pPr>
    </w:p>
    <w:p>
      <w:pPr>
        <w:rPr>
          <w:rFonts w:ascii="宋体" w:hAnsi="宋体"/>
          <w:szCs w:val="22"/>
        </w:rPr>
      </w:pPr>
    </w:p>
    <w:p>
      <w:pPr>
        <w:pStyle w:val="2"/>
        <w:rPr>
          <w:rFonts w:ascii="宋体" w:hAnsi="宋体"/>
          <w:szCs w:val="22"/>
        </w:rPr>
      </w:pPr>
    </w:p>
    <w:p>
      <w:pPr>
        <w:pStyle w:val="3"/>
        <w:rPr>
          <w:rFonts w:ascii="宋体" w:hAnsi="宋体"/>
          <w:szCs w:val="22"/>
        </w:rPr>
      </w:pPr>
    </w:p>
    <w:p>
      <w:pPr>
        <w:rPr>
          <w:rFonts w:ascii="宋体" w:hAnsi="宋体"/>
          <w:szCs w:val="22"/>
        </w:rPr>
      </w:pPr>
    </w:p>
    <w:p>
      <w:pPr>
        <w:pStyle w:val="2"/>
        <w:rPr>
          <w:rFonts w:ascii="宋体" w:hAnsi="宋体"/>
          <w:szCs w:val="22"/>
        </w:rPr>
      </w:pPr>
    </w:p>
    <w:p>
      <w:pPr>
        <w:pStyle w:val="3"/>
        <w:rPr>
          <w:rFonts w:ascii="宋体" w:hAnsi="宋体"/>
          <w:szCs w:val="22"/>
        </w:rPr>
      </w:pPr>
    </w:p>
    <w:p>
      <w:pPr>
        <w:rPr>
          <w:rFonts w:ascii="宋体" w:hAnsi="宋体"/>
          <w:szCs w:val="22"/>
        </w:rPr>
      </w:pPr>
    </w:p>
    <w:p>
      <w:pPr>
        <w:pStyle w:val="2"/>
        <w:rPr>
          <w:rFonts w:ascii="宋体" w:hAnsi="宋体"/>
          <w:szCs w:val="22"/>
        </w:rPr>
      </w:pPr>
    </w:p>
    <w:p>
      <w:pPr>
        <w:pStyle w:val="3"/>
        <w:rPr>
          <w:rFonts w:ascii="宋体" w:hAnsi="宋体"/>
          <w:szCs w:val="22"/>
        </w:rPr>
      </w:pPr>
    </w:p>
    <w:p>
      <w:pPr>
        <w:rPr>
          <w:rFonts w:ascii="宋体" w:hAnsi="宋体"/>
          <w:szCs w:val="22"/>
        </w:rPr>
      </w:pPr>
    </w:p>
    <w:p>
      <w:pPr>
        <w:pStyle w:val="2"/>
        <w:rPr>
          <w:rFonts w:ascii="宋体" w:hAnsi="宋体"/>
          <w:szCs w:val="22"/>
        </w:rPr>
      </w:pPr>
    </w:p>
    <w:p>
      <w:pPr>
        <w:pStyle w:val="3"/>
        <w:rPr>
          <w:rFonts w:ascii="宋体" w:hAnsi="宋体"/>
          <w:szCs w:val="22"/>
        </w:rPr>
      </w:pPr>
    </w:p>
    <w:p>
      <w:pPr>
        <w:rPr>
          <w:rFonts w:ascii="宋体" w:hAnsi="宋体"/>
          <w:szCs w:val="22"/>
        </w:rPr>
      </w:pPr>
    </w:p>
    <w:p>
      <w:pPr>
        <w:pStyle w:val="2"/>
        <w:rPr>
          <w:rFonts w:ascii="宋体" w:hAnsi="宋体"/>
          <w:szCs w:val="22"/>
        </w:rPr>
      </w:pPr>
    </w:p>
    <w:p>
      <w:pPr>
        <w:pStyle w:val="3"/>
        <w:rPr>
          <w:rFonts w:ascii="宋体" w:hAnsi="宋体"/>
          <w:szCs w:val="22"/>
        </w:rPr>
      </w:pPr>
    </w:p>
    <w:p>
      <w:pPr>
        <w:rPr>
          <w:rFonts w:ascii="宋体" w:hAnsi="宋体"/>
          <w:szCs w:val="22"/>
        </w:rPr>
      </w:pPr>
    </w:p>
    <w:p>
      <w:pPr>
        <w:pStyle w:val="2"/>
        <w:rPr>
          <w:rFonts w:ascii="宋体" w:hAnsi="宋体"/>
          <w:szCs w:val="22"/>
        </w:rPr>
      </w:pPr>
    </w:p>
    <w:p>
      <w:pPr>
        <w:pStyle w:val="3"/>
        <w:rPr>
          <w:rFonts w:ascii="宋体" w:hAnsi="宋体"/>
          <w:szCs w:val="22"/>
        </w:rPr>
      </w:pPr>
    </w:p>
    <w:p>
      <w:pPr>
        <w:rPr>
          <w:rFonts w:ascii="宋体" w:hAnsi="宋体"/>
          <w:szCs w:val="22"/>
        </w:rPr>
      </w:pPr>
    </w:p>
    <w:p>
      <w:pPr>
        <w:pStyle w:val="2"/>
        <w:rPr>
          <w:rFonts w:ascii="宋体" w:hAnsi="宋体"/>
          <w:szCs w:val="22"/>
        </w:rPr>
      </w:pPr>
    </w:p>
    <w:p>
      <w:pPr>
        <w:pStyle w:val="3"/>
        <w:rPr>
          <w:rFonts w:ascii="宋体" w:hAnsi="宋体"/>
          <w:szCs w:val="22"/>
        </w:rPr>
      </w:pPr>
    </w:p>
    <w:p>
      <w:pPr>
        <w:rPr>
          <w:rFonts w:ascii="宋体" w:hAnsi="宋体"/>
          <w:szCs w:val="22"/>
        </w:rPr>
      </w:pPr>
    </w:p>
    <w:p>
      <w:pPr>
        <w:pStyle w:val="2"/>
        <w:rPr>
          <w:rFonts w:ascii="宋体" w:hAnsi="宋体"/>
          <w:szCs w:val="22"/>
        </w:rPr>
      </w:pPr>
    </w:p>
    <w:p>
      <w:pPr>
        <w:pStyle w:val="3"/>
        <w:rPr>
          <w:rFonts w:ascii="宋体" w:hAnsi="宋体"/>
          <w:szCs w:val="22"/>
        </w:rPr>
      </w:pPr>
    </w:p>
    <w:p>
      <w:pPr>
        <w:rPr>
          <w:rFonts w:ascii="宋体" w:hAnsi="宋体"/>
          <w:szCs w:val="22"/>
        </w:rPr>
      </w:pPr>
    </w:p>
    <w:p>
      <w:pPr>
        <w:pStyle w:val="2"/>
        <w:rPr>
          <w:rFonts w:ascii="宋体" w:hAnsi="宋体"/>
          <w:szCs w:val="22"/>
        </w:rPr>
      </w:pPr>
    </w:p>
    <w:p>
      <w:pPr>
        <w:pStyle w:val="3"/>
        <w:rPr>
          <w:rFonts w:ascii="宋体" w:hAnsi="宋体"/>
          <w:szCs w:val="22"/>
        </w:rPr>
      </w:pPr>
    </w:p>
    <w:p>
      <w:pPr>
        <w:rPr>
          <w:rFonts w:ascii="宋体" w:hAnsi="宋体"/>
          <w:szCs w:val="22"/>
        </w:rPr>
      </w:pPr>
    </w:p>
    <w:p>
      <w:pPr>
        <w:pStyle w:val="2"/>
        <w:rPr>
          <w:rFonts w:ascii="宋体" w:hAnsi="宋体"/>
          <w:szCs w:val="22"/>
        </w:rPr>
      </w:pPr>
    </w:p>
    <w:p>
      <w:pPr>
        <w:pStyle w:val="3"/>
        <w:rPr>
          <w:rFonts w:ascii="宋体" w:hAnsi="宋体"/>
          <w:szCs w:val="22"/>
        </w:rPr>
      </w:pPr>
    </w:p>
    <w:p>
      <w:pPr>
        <w:rPr>
          <w:rFonts w:ascii="宋体" w:hAnsi="宋体"/>
          <w:szCs w:val="22"/>
        </w:rPr>
      </w:pPr>
    </w:p>
    <w:sectPr>
      <w:headerReference r:id="rId6" w:type="first"/>
      <w:headerReference r:id="rId4" w:type="default"/>
      <w:footerReference r:id="rId7" w:type="default"/>
      <w:headerReference r:id="rId5" w:type="even"/>
      <w:footerReference r:id="rId8" w:type="even"/>
      <w:pgSz w:w="11906" w:h="16838"/>
      <w:pgMar w:top="1418" w:right="1133" w:bottom="935" w:left="1134" w:header="567"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smartSimSun">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0000000000000000000"/>
    <w:charset w:val="86"/>
    <w:family w:val="auto"/>
    <w:pitch w:val="default"/>
    <w:sig w:usb0="00000000" w:usb1="00000000" w:usb2="00000000" w:usb3="00000000" w:csb0="00040000" w:csb1="00000000"/>
  </w:font>
  <w:font w:name="方正书宋简体">
    <w:altName w:val="宋体"/>
    <w:panose1 w:val="00000000000000000000"/>
    <w:charset w:val="86"/>
    <w:family w:val="script"/>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Microsoft Sans Serif">
    <w:panose1 w:val="020B0604020202020204"/>
    <w:charset w:val="00"/>
    <w:family w:val="swiss"/>
    <w:pitch w:val="default"/>
    <w:sig w:usb0="E1002AFF" w:usb1="C0000002" w:usb2="00000008" w:usb3="00000000" w:csb0="200101FF" w:csb1="2028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ingLiUfalt">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4053844"/>
      <w:docPartObj>
        <w:docPartGallery w:val="autotext"/>
      </w:docPartObj>
    </w:sdtPr>
    <w:sdtContent>
      <w:p>
        <w:pPr>
          <w:pStyle w:val="31"/>
        </w:pPr>
        <w:r>
          <w:fldChar w:fldCharType="begin"/>
        </w:r>
        <w:r>
          <w:instrText xml:space="preserve">PAGE   \* MERGEFORMAT</w:instrText>
        </w:r>
        <w:r>
          <w:fldChar w:fldCharType="separate"/>
        </w:r>
        <w:r>
          <w:rPr>
            <w:lang w:val="zh-CN"/>
          </w:rPr>
          <w:t>2</w:t>
        </w:r>
        <w:r>
          <w:fldChar w:fldCharType="end"/>
        </w:r>
      </w:p>
    </w:sdtContent>
  </w:sdt>
  <w:p>
    <w:pPr>
      <w:pStyle w:val="31"/>
      <w:tabs>
        <w:tab w:val="right" w:pos="8640"/>
        <w:tab w:val="left" w:pos="9000"/>
        <w:tab w:val="left" w:pos="9360"/>
        <w:tab w:val="clear" w:pos="8306"/>
      </w:tabs>
      <w:ind w:right="-489" w:rightChars="-233"/>
      <w:jc w:val="both"/>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8"/>
      </w:rPr>
    </w:pPr>
    <w:r>
      <w:rPr>
        <w:rStyle w:val="58"/>
      </w:rPr>
      <w:fldChar w:fldCharType="begin"/>
    </w:r>
    <w:r>
      <w:rPr>
        <w:rStyle w:val="58"/>
      </w:rPr>
      <w:instrText xml:space="preserve">PAGE  </w:instrText>
    </w:r>
    <w:r>
      <w:rPr>
        <w:rStyle w:val="58"/>
      </w:rPr>
      <w:fldChar w:fldCharType="separate"/>
    </w:r>
    <w:r>
      <w:rPr>
        <w:rStyle w:val="58"/>
      </w:rPr>
      <w:t>- 0 -</w:t>
    </w:r>
    <w:r>
      <w:rPr>
        <w:rStyle w:val="58"/>
      </w:rPr>
      <w:fldChar w:fldCharType="end"/>
    </w:r>
  </w:p>
  <w:p>
    <w:pPr>
      <w:pStyle w:val="3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38"/>
        <w:ind w:firstLine="360" w:firstLineChars="200"/>
      </w:pPr>
      <w:r>
        <w:rPr>
          <w:rStyle w:val="62"/>
        </w:rPr>
        <w:footnoteRef/>
      </w:r>
      <w:r>
        <w:t>“总价”是指在工程量清单中以“项”或“总额”为计量单位、以总价计价的子目，一般用于不能按照约定的工程量计算规则确定数量的子目。总价子目一般按照分期、完成合同价的百分比或完成进度计划的形象进度节点等方式予以分解支付。总价子目的计量方法由发包人在专用合同条款12.3.1中明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top w:val="none" w:color="auto" w:sz="0" w:space="0"/>
        <w:left w:val="none" w:color="auto" w:sz="0" w:space="0"/>
        <w:bottom w:val="none" w:color="auto" w:sz="0" w:space="0"/>
        <w:right w:val="none" w:color="auto" w:sz="0" w:space="0"/>
      </w:pBdr>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F1B56C"/>
    <w:multiLevelType w:val="singleLevel"/>
    <w:tmpl w:val="A4F1B56C"/>
    <w:lvl w:ilvl="0" w:tentative="0">
      <w:start w:val="11"/>
      <w:numFmt w:val="decimal"/>
      <w:suff w:val="space"/>
      <w:lvlText w:val="%1."/>
      <w:lvlJc w:val="left"/>
    </w:lvl>
  </w:abstractNum>
  <w:abstractNum w:abstractNumId="1">
    <w:nsid w:val="DF2C0C77"/>
    <w:multiLevelType w:val="singleLevel"/>
    <w:tmpl w:val="DF2C0C77"/>
    <w:lvl w:ilvl="0" w:tentative="0">
      <w:start w:val="1"/>
      <w:numFmt w:val="decimal"/>
      <w:lvlText w:val="%1."/>
      <w:lvlJc w:val="left"/>
      <w:pPr>
        <w:tabs>
          <w:tab w:val="left" w:pos="312"/>
        </w:tabs>
        <w:ind w:left="735" w:firstLine="0"/>
      </w:pPr>
    </w:lvl>
  </w:abstractNum>
  <w:abstractNum w:abstractNumId="2">
    <w:nsid w:val="F6FBCA3D"/>
    <w:multiLevelType w:val="singleLevel"/>
    <w:tmpl w:val="F6FBCA3D"/>
    <w:lvl w:ilvl="0" w:tentative="0">
      <w:start w:val="6"/>
      <w:numFmt w:val="chineseCounting"/>
      <w:suff w:val="space"/>
      <w:lvlText w:val="第%1章"/>
      <w:lvlJc w:val="left"/>
      <w:rPr>
        <w:rFonts w:hint="eastAsia"/>
      </w:rPr>
    </w:lvl>
  </w:abstractNum>
  <w:abstractNum w:abstractNumId="3">
    <w:nsid w:val="00000006"/>
    <w:multiLevelType w:val="singleLevel"/>
    <w:tmpl w:val="00000006"/>
    <w:lvl w:ilvl="0" w:tentative="0">
      <w:start w:val="1"/>
      <w:numFmt w:val="decimal"/>
      <w:suff w:val="nothing"/>
      <w:lvlText w:val="（%1）"/>
      <w:lvlJc w:val="left"/>
    </w:lvl>
  </w:abstractNum>
  <w:abstractNum w:abstractNumId="4">
    <w:nsid w:val="1D48586B"/>
    <w:multiLevelType w:val="singleLevel"/>
    <w:tmpl w:val="1D48586B"/>
    <w:lvl w:ilvl="0" w:tentative="0">
      <w:start w:val="3"/>
      <w:numFmt w:val="decimal"/>
      <w:suff w:val="space"/>
      <w:lvlText w:val="%1."/>
      <w:lvlJc w:val="left"/>
    </w:lvl>
  </w:abstractNum>
  <w:abstractNum w:abstractNumId="5">
    <w:nsid w:val="397D3AF4"/>
    <w:multiLevelType w:val="singleLevel"/>
    <w:tmpl w:val="397D3AF4"/>
    <w:lvl w:ilvl="0" w:tentative="0">
      <w:start w:val="8"/>
      <w:numFmt w:val="decimal"/>
      <w:lvlText w:val="%1."/>
      <w:lvlJc w:val="left"/>
      <w:pPr>
        <w:tabs>
          <w:tab w:val="left" w:pos="312"/>
        </w:tabs>
      </w:pPr>
    </w:lvl>
  </w:abstractNum>
  <w:abstractNum w:abstractNumId="6">
    <w:nsid w:val="59E1716D"/>
    <w:multiLevelType w:val="singleLevel"/>
    <w:tmpl w:val="59E1716D"/>
    <w:lvl w:ilvl="0" w:tentative="0">
      <w:start w:val="2"/>
      <w:numFmt w:val="chineseCounting"/>
      <w:suff w:val="nothing"/>
      <w:lvlText w:val="（%1）"/>
      <w:lvlJc w:val="left"/>
    </w:lvl>
  </w:abstractNum>
  <w:num w:numId="1">
    <w:abstractNumId w:val="5"/>
  </w:num>
  <w:num w:numId="2">
    <w:abstractNumId w:val="4"/>
  </w:num>
  <w:num w:numId="3">
    <w:abstractNumId w:val="1"/>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420"/>
  <w:drawingGridVerticalSpacing w:val="156"/>
  <w:noPunctuationKerning w:val="1"/>
  <w:characterSpacingControl w:val="compressPunctuation"/>
  <w:noLineBreaksAfter w:lang="zh-CN" w:val="$([{£¥·‘“〈《「『【〔〖〝﹙﹛﹝＄（．［｛￡￥"/>
  <w:noLineBreaksBefore w:lang="zh-CN" w:val="!%),.:;&gt;?]}¢¨°·ˇˉ―‖’”…‰′″›℃∶、。〃〉》」』】〕〗〞︶︺︾﹀﹄﹚﹜﹞！＂％＇），．：；？］｀｜｝～￠"/>
  <w:doNotValidateAgainstSchema/>
  <w:doNotDemarcateInvalidXml/>
  <w:footnotePr>
    <w:footnote w:id="2"/>
    <w:footnote w:id="3"/>
  </w:foot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07"/>
    <w:rsid w:val="000076E2"/>
    <w:rsid w:val="00007EF5"/>
    <w:rsid w:val="00010690"/>
    <w:rsid w:val="000116DE"/>
    <w:rsid w:val="0001223A"/>
    <w:rsid w:val="000251D4"/>
    <w:rsid w:val="00033F9F"/>
    <w:rsid w:val="00036C87"/>
    <w:rsid w:val="0004719C"/>
    <w:rsid w:val="000873AE"/>
    <w:rsid w:val="000947FF"/>
    <w:rsid w:val="00095451"/>
    <w:rsid w:val="000C1F58"/>
    <w:rsid w:val="000C4A2B"/>
    <w:rsid w:val="000D49D8"/>
    <w:rsid w:val="000D5125"/>
    <w:rsid w:val="000E5876"/>
    <w:rsid w:val="000E7073"/>
    <w:rsid w:val="00106D7C"/>
    <w:rsid w:val="00120946"/>
    <w:rsid w:val="001221CF"/>
    <w:rsid w:val="00154FBC"/>
    <w:rsid w:val="00160C36"/>
    <w:rsid w:val="00170AA6"/>
    <w:rsid w:val="00172A27"/>
    <w:rsid w:val="001877F6"/>
    <w:rsid w:val="001B5F93"/>
    <w:rsid w:val="001B6622"/>
    <w:rsid w:val="001B6F9F"/>
    <w:rsid w:val="001C37C7"/>
    <w:rsid w:val="001C63FD"/>
    <w:rsid w:val="001C7643"/>
    <w:rsid w:val="001C7817"/>
    <w:rsid w:val="001F2A05"/>
    <w:rsid w:val="00202B92"/>
    <w:rsid w:val="00205008"/>
    <w:rsid w:val="00233D11"/>
    <w:rsid w:val="002401D5"/>
    <w:rsid w:val="00241405"/>
    <w:rsid w:val="0024314E"/>
    <w:rsid w:val="002574DD"/>
    <w:rsid w:val="00262ACE"/>
    <w:rsid w:val="00263987"/>
    <w:rsid w:val="00292877"/>
    <w:rsid w:val="002A1DE5"/>
    <w:rsid w:val="002B2851"/>
    <w:rsid w:val="002B3349"/>
    <w:rsid w:val="002B40E0"/>
    <w:rsid w:val="002B4790"/>
    <w:rsid w:val="002B6146"/>
    <w:rsid w:val="002D752E"/>
    <w:rsid w:val="002E0354"/>
    <w:rsid w:val="002E2435"/>
    <w:rsid w:val="002E7E08"/>
    <w:rsid w:val="003003FD"/>
    <w:rsid w:val="0030202E"/>
    <w:rsid w:val="0031246F"/>
    <w:rsid w:val="00332D38"/>
    <w:rsid w:val="0033529E"/>
    <w:rsid w:val="0035241A"/>
    <w:rsid w:val="00360B5C"/>
    <w:rsid w:val="003745EA"/>
    <w:rsid w:val="00375390"/>
    <w:rsid w:val="00375D29"/>
    <w:rsid w:val="003A1251"/>
    <w:rsid w:val="003D106B"/>
    <w:rsid w:val="003D6287"/>
    <w:rsid w:val="003F112C"/>
    <w:rsid w:val="00415F43"/>
    <w:rsid w:val="00416FE6"/>
    <w:rsid w:val="004201AA"/>
    <w:rsid w:val="00430967"/>
    <w:rsid w:val="00440498"/>
    <w:rsid w:val="00443E76"/>
    <w:rsid w:val="004451CC"/>
    <w:rsid w:val="00463867"/>
    <w:rsid w:val="00464487"/>
    <w:rsid w:val="00465619"/>
    <w:rsid w:val="0048167C"/>
    <w:rsid w:val="00484DA9"/>
    <w:rsid w:val="004870D0"/>
    <w:rsid w:val="00490673"/>
    <w:rsid w:val="004A0DAC"/>
    <w:rsid w:val="004A17B7"/>
    <w:rsid w:val="004B07B1"/>
    <w:rsid w:val="004B0E69"/>
    <w:rsid w:val="004B3CB6"/>
    <w:rsid w:val="004B45B9"/>
    <w:rsid w:val="004B6993"/>
    <w:rsid w:val="004C13E6"/>
    <w:rsid w:val="004C153E"/>
    <w:rsid w:val="004C3F1B"/>
    <w:rsid w:val="004C7AF1"/>
    <w:rsid w:val="004E3D6E"/>
    <w:rsid w:val="004F2621"/>
    <w:rsid w:val="005069F7"/>
    <w:rsid w:val="0051491C"/>
    <w:rsid w:val="0051737A"/>
    <w:rsid w:val="00531143"/>
    <w:rsid w:val="0053192A"/>
    <w:rsid w:val="005337F8"/>
    <w:rsid w:val="005340F5"/>
    <w:rsid w:val="0053415F"/>
    <w:rsid w:val="00537CE6"/>
    <w:rsid w:val="005402BB"/>
    <w:rsid w:val="00543F57"/>
    <w:rsid w:val="0054575E"/>
    <w:rsid w:val="005511DA"/>
    <w:rsid w:val="00555BED"/>
    <w:rsid w:val="00562F4A"/>
    <w:rsid w:val="00565145"/>
    <w:rsid w:val="005860AB"/>
    <w:rsid w:val="00587C1A"/>
    <w:rsid w:val="005917BA"/>
    <w:rsid w:val="005A16B6"/>
    <w:rsid w:val="005A367D"/>
    <w:rsid w:val="005B4764"/>
    <w:rsid w:val="005D052B"/>
    <w:rsid w:val="005D62AB"/>
    <w:rsid w:val="005D7237"/>
    <w:rsid w:val="005D7330"/>
    <w:rsid w:val="005E7ABF"/>
    <w:rsid w:val="005F13A3"/>
    <w:rsid w:val="005F4879"/>
    <w:rsid w:val="0061108C"/>
    <w:rsid w:val="0061183E"/>
    <w:rsid w:val="00612B74"/>
    <w:rsid w:val="00622135"/>
    <w:rsid w:val="00630A06"/>
    <w:rsid w:val="0063424B"/>
    <w:rsid w:val="00635AAB"/>
    <w:rsid w:val="0063654C"/>
    <w:rsid w:val="0064295A"/>
    <w:rsid w:val="006538DE"/>
    <w:rsid w:val="00670AFB"/>
    <w:rsid w:val="00674142"/>
    <w:rsid w:val="00684BD1"/>
    <w:rsid w:val="0069178E"/>
    <w:rsid w:val="00691AB6"/>
    <w:rsid w:val="00694FF6"/>
    <w:rsid w:val="00696576"/>
    <w:rsid w:val="006A08DA"/>
    <w:rsid w:val="006A6D83"/>
    <w:rsid w:val="006C0F16"/>
    <w:rsid w:val="006D256A"/>
    <w:rsid w:val="006D3AA6"/>
    <w:rsid w:val="006E16B3"/>
    <w:rsid w:val="006F09FE"/>
    <w:rsid w:val="006F13DB"/>
    <w:rsid w:val="006F2FEB"/>
    <w:rsid w:val="006F4842"/>
    <w:rsid w:val="006F68CB"/>
    <w:rsid w:val="00701A29"/>
    <w:rsid w:val="0071262B"/>
    <w:rsid w:val="0072211A"/>
    <w:rsid w:val="00726A8E"/>
    <w:rsid w:val="00732012"/>
    <w:rsid w:val="00744ACF"/>
    <w:rsid w:val="0074735B"/>
    <w:rsid w:val="00747ADE"/>
    <w:rsid w:val="00761713"/>
    <w:rsid w:val="00772B4E"/>
    <w:rsid w:val="007737B3"/>
    <w:rsid w:val="0077733E"/>
    <w:rsid w:val="00780485"/>
    <w:rsid w:val="0078647E"/>
    <w:rsid w:val="007870FD"/>
    <w:rsid w:val="0079008D"/>
    <w:rsid w:val="00790A10"/>
    <w:rsid w:val="00794A6C"/>
    <w:rsid w:val="00796512"/>
    <w:rsid w:val="007A10CA"/>
    <w:rsid w:val="007A41DD"/>
    <w:rsid w:val="007A43C4"/>
    <w:rsid w:val="007C2A97"/>
    <w:rsid w:val="007C58E8"/>
    <w:rsid w:val="007D38A2"/>
    <w:rsid w:val="007F3C20"/>
    <w:rsid w:val="007F6A05"/>
    <w:rsid w:val="00803427"/>
    <w:rsid w:val="00811ABE"/>
    <w:rsid w:val="0081350A"/>
    <w:rsid w:val="008152AA"/>
    <w:rsid w:val="00820563"/>
    <w:rsid w:val="008232EE"/>
    <w:rsid w:val="008279B9"/>
    <w:rsid w:val="00840A45"/>
    <w:rsid w:val="008428A4"/>
    <w:rsid w:val="00845F7E"/>
    <w:rsid w:val="00862990"/>
    <w:rsid w:val="008708C2"/>
    <w:rsid w:val="00873C95"/>
    <w:rsid w:val="00886CE5"/>
    <w:rsid w:val="00893E34"/>
    <w:rsid w:val="00894CB9"/>
    <w:rsid w:val="008A4259"/>
    <w:rsid w:val="008A7A9F"/>
    <w:rsid w:val="008D7E5F"/>
    <w:rsid w:val="008F7D7B"/>
    <w:rsid w:val="0090169F"/>
    <w:rsid w:val="00904760"/>
    <w:rsid w:val="00905543"/>
    <w:rsid w:val="00905C55"/>
    <w:rsid w:val="00927B8C"/>
    <w:rsid w:val="009339BE"/>
    <w:rsid w:val="00934F9B"/>
    <w:rsid w:val="00941BBA"/>
    <w:rsid w:val="00950030"/>
    <w:rsid w:val="009553D7"/>
    <w:rsid w:val="00957FF2"/>
    <w:rsid w:val="00961F0A"/>
    <w:rsid w:val="00962DE0"/>
    <w:rsid w:val="009663EE"/>
    <w:rsid w:val="00980024"/>
    <w:rsid w:val="00981500"/>
    <w:rsid w:val="009873E1"/>
    <w:rsid w:val="0099032A"/>
    <w:rsid w:val="009915F0"/>
    <w:rsid w:val="00997317"/>
    <w:rsid w:val="009B180F"/>
    <w:rsid w:val="009B52AB"/>
    <w:rsid w:val="009F6AFB"/>
    <w:rsid w:val="00A02CAB"/>
    <w:rsid w:val="00A1073A"/>
    <w:rsid w:val="00A11205"/>
    <w:rsid w:val="00A122FC"/>
    <w:rsid w:val="00A13BBE"/>
    <w:rsid w:val="00A14B70"/>
    <w:rsid w:val="00A207AB"/>
    <w:rsid w:val="00A21620"/>
    <w:rsid w:val="00A21FE5"/>
    <w:rsid w:val="00A31EE6"/>
    <w:rsid w:val="00A32BCD"/>
    <w:rsid w:val="00A342CE"/>
    <w:rsid w:val="00A505DC"/>
    <w:rsid w:val="00A62140"/>
    <w:rsid w:val="00A65C4E"/>
    <w:rsid w:val="00A67C6A"/>
    <w:rsid w:val="00A71856"/>
    <w:rsid w:val="00A87405"/>
    <w:rsid w:val="00A9466A"/>
    <w:rsid w:val="00A963FD"/>
    <w:rsid w:val="00AB0086"/>
    <w:rsid w:val="00AB1E10"/>
    <w:rsid w:val="00AB6132"/>
    <w:rsid w:val="00AC173B"/>
    <w:rsid w:val="00AC4920"/>
    <w:rsid w:val="00AF1213"/>
    <w:rsid w:val="00AF6C33"/>
    <w:rsid w:val="00B074E3"/>
    <w:rsid w:val="00B07757"/>
    <w:rsid w:val="00B11339"/>
    <w:rsid w:val="00B1718C"/>
    <w:rsid w:val="00B17807"/>
    <w:rsid w:val="00B27480"/>
    <w:rsid w:val="00B27E0D"/>
    <w:rsid w:val="00B33546"/>
    <w:rsid w:val="00B43B9D"/>
    <w:rsid w:val="00B47BD0"/>
    <w:rsid w:val="00B578D3"/>
    <w:rsid w:val="00B70001"/>
    <w:rsid w:val="00B70083"/>
    <w:rsid w:val="00B71C8B"/>
    <w:rsid w:val="00B76025"/>
    <w:rsid w:val="00B8224D"/>
    <w:rsid w:val="00B87B63"/>
    <w:rsid w:val="00B906AF"/>
    <w:rsid w:val="00BA3D2E"/>
    <w:rsid w:val="00BB30BE"/>
    <w:rsid w:val="00BB3581"/>
    <w:rsid w:val="00BC0750"/>
    <w:rsid w:val="00BD3975"/>
    <w:rsid w:val="00BE500B"/>
    <w:rsid w:val="00BF5E9F"/>
    <w:rsid w:val="00BF6D37"/>
    <w:rsid w:val="00C02AAD"/>
    <w:rsid w:val="00C13D4F"/>
    <w:rsid w:val="00C20CB4"/>
    <w:rsid w:val="00C235BC"/>
    <w:rsid w:val="00C25F4D"/>
    <w:rsid w:val="00C32BD1"/>
    <w:rsid w:val="00C4230A"/>
    <w:rsid w:val="00C61926"/>
    <w:rsid w:val="00C61FC0"/>
    <w:rsid w:val="00C625BC"/>
    <w:rsid w:val="00C628C9"/>
    <w:rsid w:val="00C8136E"/>
    <w:rsid w:val="00C82C12"/>
    <w:rsid w:val="00C93005"/>
    <w:rsid w:val="00C96CE8"/>
    <w:rsid w:val="00CA00B2"/>
    <w:rsid w:val="00CA7200"/>
    <w:rsid w:val="00CA7EBB"/>
    <w:rsid w:val="00CB02DC"/>
    <w:rsid w:val="00CC0047"/>
    <w:rsid w:val="00CE2FB6"/>
    <w:rsid w:val="00CF50FF"/>
    <w:rsid w:val="00D06208"/>
    <w:rsid w:val="00D070DE"/>
    <w:rsid w:val="00D07257"/>
    <w:rsid w:val="00D308C0"/>
    <w:rsid w:val="00D30915"/>
    <w:rsid w:val="00D35171"/>
    <w:rsid w:val="00D424B2"/>
    <w:rsid w:val="00D47696"/>
    <w:rsid w:val="00D5616C"/>
    <w:rsid w:val="00D578C7"/>
    <w:rsid w:val="00D74BFB"/>
    <w:rsid w:val="00D7686B"/>
    <w:rsid w:val="00DA1888"/>
    <w:rsid w:val="00DB7D62"/>
    <w:rsid w:val="00DC2692"/>
    <w:rsid w:val="00DD5D14"/>
    <w:rsid w:val="00DF60A0"/>
    <w:rsid w:val="00E00904"/>
    <w:rsid w:val="00E02F88"/>
    <w:rsid w:val="00E13E04"/>
    <w:rsid w:val="00E201F1"/>
    <w:rsid w:val="00E3381C"/>
    <w:rsid w:val="00E464A3"/>
    <w:rsid w:val="00E47331"/>
    <w:rsid w:val="00E604FC"/>
    <w:rsid w:val="00E61555"/>
    <w:rsid w:val="00E63153"/>
    <w:rsid w:val="00E70B36"/>
    <w:rsid w:val="00E8183B"/>
    <w:rsid w:val="00E9442D"/>
    <w:rsid w:val="00EA0EBD"/>
    <w:rsid w:val="00EA6D1E"/>
    <w:rsid w:val="00EA7367"/>
    <w:rsid w:val="00ED33C2"/>
    <w:rsid w:val="00ED41D9"/>
    <w:rsid w:val="00ED5C5D"/>
    <w:rsid w:val="00EE1326"/>
    <w:rsid w:val="00EF6B52"/>
    <w:rsid w:val="00F03137"/>
    <w:rsid w:val="00F07ADC"/>
    <w:rsid w:val="00F07EB6"/>
    <w:rsid w:val="00F162F6"/>
    <w:rsid w:val="00F2342F"/>
    <w:rsid w:val="00F30259"/>
    <w:rsid w:val="00F415B3"/>
    <w:rsid w:val="00F41C71"/>
    <w:rsid w:val="00F51A4C"/>
    <w:rsid w:val="00F5647F"/>
    <w:rsid w:val="00F71BA5"/>
    <w:rsid w:val="00F81C86"/>
    <w:rsid w:val="00F84284"/>
    <w:rsid w:val="00FA0765"/>
    <w:rsid w:val="00FA30A4"/>
    <w:rsid w:val="00FA34EE"/>
    <w:rsid w:val="00FC710C"/>
    <w:rsid w:val="00FE7264"/>
    <w:rsid w:val="00FF4CEF"/>
    <w:rsid w:val="00FF7923"/>
    <w:rsid w:val="01422ADF"/>
    <w:rsid w:val="01716DB1"/>
    <w:rsid w:val="01BD6381"/>
    <w:rsid w:val="02C27FA6"/>
    <w:rsid w:val="02CC2C05"/>
    <w:rsid w:val="02DB67C4"/>
    <w:rsid w:val="034A55B2"/>
    <w:rsid w:val="03590BCD"/>
    <w:rsid w:val="03F009E9"/>
    <w:rsid w:val="042C1FD9"/>
    <w:rsid w:val="043F502D"/>
    <w:rsid w:val="04495AA9"/>
    <w:rsid w:val="046C5F84"/>
    <w:rsid w:val="049D3E87"/>
    <w:rsid w:val="04C2074C"/>
    <w:rsid w:val="051B4B67"/>
    <w:rsid w:val="057D510B"/>
    <w:rsid w:val="05C25557"/>
    <w:rsid w:val="06116A21"/>
    <w:rsid w:val="066E7C0D"/>
    <w:rsid w:val="07135ED9"/>
    <w:rsid w:val="07325E85"/>
    <w:rsid w:val="07373293"/>
    <w:rsid w:val="07A5285A"/>
    <w:rsid w:val="07BD0D31"/>
    <w:rsid w:val="07D222FC"/>
    <w:rsid w:val="07E25119"/>
    <w:rsid w:val="07FF397D"/>
    <w:rsid w:val="08444654"/>
    <w:rsid w:val="08737C6A"/>
    <w:rsid w:val="088D14B2"/>
    <w:rsid w:val="088F4402"/>
    <w:rsid w:val="08B617B6"/>
    <w:rsid w:val="08BA04DE"/>
    <w:rsid w:val="08F65EAD"/>
    <w:rsid w:val="091E7FB1"/>
    <w:rsid w:val="092D5633"/>
    <w:rsid w:val="09C15B3A"/>
    <w:rsid w:val="0A006777"/>
    <w:rsid w:val="0A545307"/>
    <w:rsid w:val="0A6A3095"/>
    <w:rsid w:val="0B1B6F9B"/>
    <w:rsid w:val="0B90417A"/>
    <w:rsid w:val="0B9F368A"/>
    <w:rsid w:val="0BAD0C3A"/>
    <w:rsid w:val="0C834D6A"/>
    <w:rsid w:val="0CEE6E08"/>
    <w:rsid w:val="0D43211E"/>
    <w:rsid w:val="0D4A692D"/>
    <w:rsid w:val="0E1E4970"/>
    <w:rsid w:val="0E481A72"/>
    <w:rsid w:val="0E960D9A"/>
    <w:rsid w:val="0EFB19D5"/>
    <w:rsid w:val="0F4246D0"/>
    <w:rsid w:val="0F9A3ACA"/>
    <w:rsid w:val="0FB930B8"/>
    <w:rsid w:val="0FD717BC"/>
    <w:rsid w:val="10591C41"/>
    <w:rsid w:val="10CD0069"/>
    <w:rsid w:val="10E6566D"/>
    <w:rsid w:val="10E721A2"/>
    <w:rsid w:val="11156174"/>
    <w:rsid w:val="11B11A3A"/>
    <w:rsid w:val="11BE56C6"/>
    <w:rsid w:val="11FC36B3"/>
    <w:rsid w:val="1214758C"/>
    <w:rsid w:val="12464D87"/>
    <w:rsid w:val="12830766"/>
    <w:rsid w:val="128F3011"/>
    <w:rsid w:val="129B159B"/>
    <w:rsid w:val="131E0B45"/>
    <w:rsid w:val="13BB766E"/>
    <w:rsid w:val="13DF2732"/>
    <w:rsid w:val="13E52258"/>
    <w:rsid w:val="13F6506D"/>
    <w:rsid w:val="146D59FC"/>
    <w:rsid w:val="148849CB"/>
    <w:rsid w:val="14B74E13"/>
    <w:rsid w:val="14E7608D"/>
    <w:rsid w:val="156675F7"/>
    <w:rsid w:val="156C2457"/>
    <w:rsid w:val="159A3FBE"/>
    <w:rsid w:val="15A61570"/>
    <w:rsid w:val="15D216B9"/>
    <w:rsid w:val="15F17992"/>
    <w:rsid w:val="16D33DA0"/>
    <w:rsid w:val="16D72137"/>
    <w:rsid w:val="17265355"/>
    <w:rsid w:val="17A63D02"/>
    <w:rsid w:val="17B4139C"/>
    <w:rsid w:val="17E04701"/>
    <w:rsid w:val="18572BA6"/>
    <w:rsid w:val="19231FD2"/>
    <w:rsid w:val="19A00410"/>
    <w:rsid w:val="19D819E5"/>
    <w:rsid w:val="1A372AF3"/>
    <w:rsid w:val="1A461564"/>
    <w:rsid w:val="1A46253D"/>
    <w:rsid w:val="1B2674DC"/>
    <w:rsid w:val="1BB5270F"/>
    <w:rsid w:val="1CEB0C56"/>
    <w:rsid w:val="1D0700F2"/>
    <w:rsid w:val="1D694B42"/>
    <w:rsid w:val="1D8802E7"/>
    <w:rsid w:val="1DC54679"/>
    <w:rsid w:val="1DD53D27"/>
    <w:rsid w:val="1DF97178"/>
    <w:rsid w:val="1EB75E4C"/>
    <w:rsid w:val="1F2D0723"/>
    <w:rsid w:val="1FCA701F"/>
    <w:rsid w:val="1FDF7F9C"/>
    <w:rsid w:val="208766B1"/>
    <w:rsid w:val="20F75BF2"/>
    <w:rsid w:val="212250C1"/>
    <w:rsid w:val="21274C27"/>
    <w:rsid w:val="219444BA"/>
    <w:rsid w:val="23354D88"/>
    <w:rsid w:val="23B93716"/>
    <w:rsid w:val="23BB600D"/>
    <w:rsid w:val="241770BD"/>
    <w:rsid w:val="2484664A"/>
    <w:rsid w:val="256E09F8"/>
    <w:rsid w:val="259C09CB"/>
    <w:rsid w:val="265740E9"/>
    <w:rsid w:val="26871C17"/>
    <w:rsid w:val="269B72DC"/>
    <w:rsid w:val="275756B2"/>
    <w:rsid w:val="27657976"/>
    <w:rsid w:val="27912C88"/>
    <w:rsid w:val="28395A46"/>
    <w:rsid w:val="286820E0"/>
    <w:rsid w:val="28A70054"/>
    <w:rsid w:val="28AC35C3"/>
    <w:rsid w:val="29366759"/>
    <w:rsid w:val="298C7582"/>
    <w:rsid w:val="2A8C1718"/>
    <w:rsid w:val="2BA06FF7"/>
    <w:rsid w:val="2CE47B13"/>
    <w:rsid w:val="2DAD3A40"/>
    <w:rsid w:val="2DD43D5D"/>
    <w:rsid w:val="2E3F31F5"/>
    <w:rsid w:val="2EAD353D"/>
    <w:rsid w:val="2ECE3F19"/>
    <w:rsid w:val="2EF7183F"/>
    <w:rsid w:val="2F1C6A49"/>
    <w:rsid w:val="2F9C59DE"/>
    <w:rsid w:val="303429F4"/>
    <w:rsid w:val="30731E04"/>
    <w:rsid w:val="30821775"/>
    <w:rsid w:val="30A33837"/>
    <w:rsid w:val="30F812AD"/>
    <w:rsid w:val="31645EED"/>
    <w:rsid w:val="316D21B7"/>
    <w:rsid w:val="319218B1"/>
    <w:rsid w:val="325C466D"/>
    <w:rsid w:val="32855FC6"/>
    <w:rsid w:val="344D17B9"/>
    <w:rsid w:val="346C0057"/>
    <w:rsid w:val="353006C0"/>
    <w:rsid w:val="361D170E"/>
    <w:rsid w:val="36F97963"/>
    <w:rsid w:val="370F7825"/>
    <w:rsid w:val="375626A5"/>
    <w:rsid w:val="37E33A48"/>
    <w:rsid w:val="384A2217"/>
    <w:rsid w:val="38656129"/>
    <w:rsid w:val="38A85E4E"/>
    <w:rsid w:val="38CC781E"/>
    <w:rsid w:val="39077654"/>
    <w:rsid w:val="393A4ADD"/>
    <w:rsid w:val="39725925"/>
    <w:rsid w:val="39B40D59"/>
    <w:rsid w:val="3A4A7BA2"/>
    <w:rsid w:val="3A907E73"/>
    <w:rsid w:val="3B172DE3"/>
    <w:rsid w:val="3B427D02"/>
    <w:rsid w:val="3B8D00B4"/>
    <w:rsid w:val="3BFF5F0D"/>
    <w:rsid w:val="3C1D7DFB"/>
    <w:rsid w:val="3C8F24EC"/>
    <w:rsid w:val="3CEF6DFD"/>
    <w:rsid w:val="3CFB53A9"/>
    <w:rsid w:val="3D3B3BAE"/>
    <w:rsid w:val="3D954C63"/>
    <w:rsid w:val="3D955E2C"/>
    <w:rsid w:val="3DDD7C99"/>
    <w:rsid w:val="3E061494"/>
    <w:rsid w:val="3E0A4B49"/>
    <w:rsid w:val="3E2A63F4"/>
    <w:rsid w:val="3ECD76D8"/>
    <w:rsid w:val="3F650DC1"/>
    <w:rsid w:val="3FB57F8C"/>
    <w:rsid w:val="403B4658"/>
    <w:rsid w:val="406E57F8"/>
    <w:rsid w:val="408624FD"/>
    <w:rsid w:val="40957A4C"/>
    <w:rsid w:val="40A7071A"/>
    <w:rsid w:val="411A30EC"/>
    <w:rsid w:val="41300855"/>
    <w:rsid w:val="41687200"/>
    <w:rsid w:val="41996F2D"/>
    <w:rsid w:val="41AA46F8"/>
    <w:rsid w:val="41BB6CD8"/>
    <w:rsid w:val="429A572B"/>
    <w:rsid w:val="43C76779"/>
    <w:rsid w:val="45E92076"/>
    <w:rsid w:val="45EF6178"/>
    <w:rsid w:val="4607210C"/>
    <w:rsid w:val="46490206"/>
    <w:rsid w:val="46831D0E"/>
    <w:rsid w:val="47C02513"/>
    <w:rsid w:val="47CF1CB6"/>
    <w:rsid w:val="484E200E"/>
    <w:rsid w:val="48842E60"/>
    <w:rsid w:val="48845554"/>
    <w:rsid w:val="488A3A31"/>
    <w:rsid w:val="48D74634"/>
    <w:rsid w:val="48DD11F2"/>
    <w:rsid w:val="490A10D9"/>
    <w:rsid w:val="492D216A"/>
    <w:rsid w:val="495F16DA"/>
    <w:rsid w:val="497E369E"/>
    <w:rsid w:val="49922B30"/>
    <w:rsid w:val="4A25012F"/>
    <w:rsid w:val="4AA84909"/>
    <w:rsid w:val="4AAB6BCC"/>
    <w:rsid w:val="4AC35994"/>
    <w:rsid w:val="4AD87141"/>
    <w:rsid w:val="4AEC45B8"/>
    <w:rsid w:val="4B1A1BAB"/>
    <w:rsid w:val="4B795BD2"/>
    <w:rsid w:val="4BC7759E"/>
    <w:rsid w:val="4BCB6BD6"/>
    <w:rsid w:val="4C2D08F5"/>
    <w:rsid w:val="4CB32757"/>
    <w:rsid w:val="4CB653BD"/>
    <w:rsid w:val="4CED3FFA"/>
    <w:rsid w:val="4CFE0168"/>
    <w:rsid w:val="4D590E39"/>
    <w:rsid w:val="4DB362A3"/>
    <w:rsid w:val="4E051249"/>
    <w:rsid w:val="4E342CF3"/>
    <w:rsid w:val="4E6846F9"/>
    <w:rsid w:val="4E696CAD"/>
    <w:rsid w:val="4EBB7376"/>
    <w:rsid w:val="4F927734"/>
    <w:rsid w:val="4F9D22AB"/>
    <w:rsid w:val="4FF91915"/>
    <w:rsid w:val="50803666"/>
    <w:rsid w:val="50C90D35"/>
    <w:rsid w:val="50DB09B3"/>
    <w:rsid w:val="50DC1D3F"/>
    <w:rsid w:val="51256AA6"/>
    <w:rsid w:val="51266953"/>
    <w:rsid w:val="514E5070"/>
    <w:rsid w:val="51933594"/>
    <w:rsid w:val="519A6F10"/>
    <w:rsid w:val="51BF1DAB"/>
    <w:rsid w:val="51E71B8A"/>
    <w:rsid w:val="52935113"/>
    <w:rsid w:val="52C30357"/>
    <w:rsid w:val="52C400C9"/>
    <w:rsid w:val="52D87C62"/>
    <w:rsid w:val="52EB7380"/>
    <w:rsid w:val="53021D29"/>
    <w:rsid w:val="53062896"/>
    <w:rsid w:val="531A4F41"/>
    <w:rsid w:val="531B3BDB"/>
    <w:rsid w:val="53C4680F"/>
    <w:rsid w:val="53EB015D"/>
    <w:rsid w:val="54201BF2"/>
    <w:rsid w:val="5442218A"/>
    <w:rsid w:val="54747355"/>
    <w:rsid w:val="54B6153C"/>
    <w:rsid w:val="55381EBA"/>
    <w:rsid w:val="55DC261B"/>
    <w:rsid w:val="56C82805"/>
    <w:rsid w:val="572D13D8"/>
    <w:rsid w:val="57817CDD"/>
    <w:rsid w:val="57AA0D12"/>
    <w:rsid w:val="57AC3CF1"/>
    <w:rsid w:val="584140F8"/>
    <w:rsid w:val="58527BF7"/>
    <w:rsid w:val="5854629E"/>
    <w:rsid w:val="58625A68"/>
    <w:rsid w:val="589547B6"/>
    <w:rsid w:val="58E12DDE"/>
    <w:rsid w:val="59955AA5"/>
    <w:rsid w:val="599E1088"/>
    <w:rsid w:val="5A1273C9"/>
    <w:rsid w:val="5A5F0915"/>
    <w:rsid w:val="5A917581"/>
    <w:rsid w:val="5ACA44CA"/>
    <w:rsid w:val="5AD24E9C"/>
    <w:rsid w:val="5B2924D1"/>
    <w:rsid w:val="5B470E49"/>
    <w:rsid w:val="5B5A415B"/>
    <w:rsid w:val="5CBE1A32"/>
    <w:rsid w:val="5D14353E"/>
    <w:rsid w:val="5DB075D9"/>
    <w:rsid w:val="5DBA1D79"/>
    <w:rsid w:val="5DED694A"/>
    <w:rsid w:val="5E1F1DDF"/>
    <w:rsid w:val="5E376F03"/>
    <w:rsid w:val="5E401E04"/>
    <w:rsid w:val="5E7C2124"/>
    <w:rsid w:val="5EA03EA4"/>
    <w:rsid w:val="5EF45C70"/>
    <w:rsid w:val="5F47514B"/>
    <w:rsid w:val="5F523B3F"/>
    <w:rsid w:val="5FD2471E"/>
    <w:rsid w:val="60445CB3"/>
    <w:rsid w:val="60E83619"/>
    <w:rsid w:val="61257F8D"/>
    <w:rsid w:val="627B4215"/>
    <w:rsid w:val="62F25AA5"/>
    <w:rsid w:val="62FF1F4F"/>
    <w:rsid w:val="62FF526D"/>
    <w:rsid w:val="63485B98"/>
    <w:rsid w:val="63756037"/>
    <w:rsid w:val="63765EBF"/>
    <w:rsid w:val="63ED4F63"/>
    <w:rsid w:val="65067306"/>
    <w:rsid w:val="65170F81"/>
    <w:rsid w:val="65910780"/>
    <w:rsid w:val="659F1DBE"/>
    <w:rsid w:val="65BF3969"/>
    <w:rsid w:val="660D2EB0"/>
    <w:rsid w:val="6667411D"/>
    <w:rsid w:val="671E5D4A"/>
    <w:rsid w:val="67A16FA9"/>
    <w:rsid w:val="67FE4872"/>
    <w:rsid w:val="68022679"/>
    <w:rsid w:val="687B1DB9"/>
    <w:rsid w:val="688168EE"/>
    <w:rsid w:val="68942157"/>
    <w:rsid w:val="69020171"/>
    <w:rsid w:val="690802C9"/>
    <w:rsid w:val="698B4A52"/>
    <w:rsid w:val="69CC2A12"/>
    <w:rsid w:val="69F112E5"/>
    <w:rsid w:val="6AF6276C"/>
    <w:rsid w:val="6B440541"/>
    <w:rsid w:val="6B5254CF"/>
    <w:rsid w:val="6C92386B"/>
    <w:rsid w:val="6CA57C3C"/>
    <w:rsid w:val="6CBD7D2A"/>
    <w:rsid w:val="6CEC720B"/>
    <w:rsid w:val="6DB369A2"/>
    <w:rsid w:val="6DC15B81"/>
    <w:rsid w:val="6DE33708"/>
    <w:rsid w:val="6E170A90"/>
    <w:rsid w:val="6E482F85"/>
    <w:rsid w:val="6E8B07E9"/>
    <w:rsid w:val="6EE1479A"/>
    <w:rsid w:val="6F3022A8"/>
    <w:rsid w:val="6F9D4842"/>
    <w:rsid w:val="6FDA228F"/>
    <w:rsid w:val="70B254A8"/>
    <w:rsid w:val="70DE3B10"/>
    <w:rsid w:val="7112119A"/>
    <w:rsid w:val="722519E2"/>
    <w:rsid w:val="72315EC6"/>
    <w:rsid w:val="72880E23"/>
    <w:rsid w:val="730A647A"/>
    <w:rsid w:val="73107C8B"/>
    <w:rsid w:val="742A074D"/>
    <w:rsid w:val="745E1B67"/>
    <w:rsid w:val="746D2AB2"/>
    <w:rsid w:val="74784BF3"/>
    <w:rsid w:val="74D37428"/>
    <w:rsid w:val="74E4512D"/>
    <w:rsid w:val="754E7E9C"/>
    <w:rsid w:val="765C4941"/>
    <w:rsid w:val="76896B15"/>
    <w:rsid w:val="768A5574"/>
    <w:rsid w:val="769601D3"/>
    <w:rsid w:val="77486083"/>
    <w:rsid w:val="77B3292E"/>
    <w:rsid w:val="77BA5FC4"/>
    <w:rsid w:val="78155DEA"/>
    <w:rsid w:val="78F430FB"/>
    <w:rsid w:val="796436A3"/>
    <w:rsid w:val="79B6792A"/>
    <w:rsid w:val="79F64AB9"/>
    <w:rsid w:val="7A4559B8"/>
    <w:rsid w:val="7A472CFF"/>
    <w:rsid w:val="7A496298"/>
    <w:rsid w:val="7A517361"/>
    <w:rsid w:val="7A95227F"/>
    <w:rsid w:val="7ABA35E2"/>
    <w:rsid w:val="7AC84CA5"/>
    <w:rsid w:val="7BC873B0"/>
    <w:rsid w:val="7BDC0311"/>
    <w:rsid w:val="7CB33FB5"/>
    <w:rsid w:val="7E25404E"/>
    <w:rsid w:val="7EE15DA0"/>
    <w:rsid w:val="7EE47592"/>
    <w:rsid w:val="7F3324F5"/>
    <w:rsid w:val="7F68183B"/>
    <w:rsid w:val="7F6D672F"/>
    <w:rsid w:val="7F784A99"/>
    <w:rsid w:val="7FB77C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qFormat="1" w:unhideWhenUsed="0" w:uiPriority="99" w:semiHidden="0" w:name="endnote reference"/>
    <w:lsdException w:qFormat="1" w:unhideWhenUsed="0" w:uiPriority="99" w:semiHidden="0" w:name="endnote text"/>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63"/>
    <w:qFormat/>
    <w:uiPriority w:val="99"/>
    <w:pPr>
      <w:keepNext/>
      <w:keepLines/>
      <w:spacing w:before="340" w:after="330" w:line="576" w:lineRule="auto"/>
      <w:outlineLvl w:val="0"/>
    </w:pPr>
    <w:rPr>
      <w:b/>
      <w:kern w:val="44"/>
      <w:sz w:val="44"/>
    </w:rPr>
  </w:style>
  <w:style w:type="paragraph" w:styleId="5">
    <w:name w:val="heading 2"/>
    <w:basedOn w:val="1"/>
    <w:next w:val="1"/>
    <w:link w:val="64"/>
    <w:qFormat/>
    <w:uiPriority w:val="99"/>
    <w:pPr>
      <w:keepNext/>
      <w:keepLines/>
      <w:adjustRightInd w:val="0"/>
      <w:spacing w:before="260" w:after="260" w:line="416" w:lineRule="atLeast"/>
      <w:outlineLvl w:val="1"/>
    </w:pPr>
    <w:rPr>
      <w:rFonts w:ascii="Arial" w:hAnsi="Arial" w:eastAsia="黑体"/>
      <w:b/>
      <w:kern w:val="0"/>
      <w:sz w:val="32"/>
    </w:rPr>
  </w:style>
  <w:style w:type="paragraph" w:styleId="6">
    <w:name w:val="heading 3"/>
    <w:basedOn w:val="1"/>
    <w:next w:val="1"/>
    <w:link w:val="65"/>
    <w:qFormat/>
    <w:uiPriority w:val="99"/>
    <w:pPr>
      <w:keepNext/>
      <w:keepLines/>
      <w:spacing w:before="260" w:after="260" w:line="412" w:lineRule="auto"/>
      <w:outlineLvl w:val="2"/>
    </w:pPr>
    <w:rPr>
      <w:b/>
      <w:sz w:val="32"/>
    </w:rPr>
  </w:style>
  <w:style w:type="paragraph" w:styleId="7">
    <w:name w:val="heading 4"/>
    <w:basedOn w:val="1"/>
    <w:next w:val="1"/>
    <w:link w:val="66"/>
    <w:qFormat/>
    <w:uiPriority w:val="99"/>
    <w:pPr>
      <w:keepNext/>
      <w:keepLines/>
      <w:spacing w:before="280" w:after="290" w:line="372" w:lineRule="auto"/>
      <w:outlineLvl w:val="3"/>
    </w:pPr>
    <w:rPr>
      <w:rFonts w:ascii="Arial" w:hAnsi="Arial" w:eastAsia="黑体"/>
      <w:b/>
      <w:sz w:val="28"/>
    </w:rPr>
  </w:style>
  <w:style w:type="paragraph" w:styleId="8">
    <w:name w:val="heading 5"/>
    <w:basedOn w:val="1"/>
    <w:next w:val="1"/>
    <w:link w:val="67"/>
    <w:qFormat/>
    <w:uiPriority w:val="99"/>
    <w:pPr>
      <w:keepNext/>
      <w:keepLines/>
      <w:spacing w:before="280" w:after="290" w:line="372" w:lineRule="auto"/>
      <w:outlineLvl w:val="4"/>
    </w:pPr>
    <w:rPr>
      <w:b/>
      <w:sz w:val="28"/>
    </w:rPr>
  </w:style>
  <w:style w:type="paragraph" w:styleId="9">
    <w:name w:val="heading 6"/>
    <w:basedOn w:val="1"/>
    <w:next w:val="1"/>
    <w:link w:val="68"/>
    <w:qFormat/>
    <w:uiPriority w:val="99"/>
    <w:pPr>
      <w:keepNext/>
      <w:keepLines/>
      <w:spacing w:before="240" w:after="64" w:line="316" w:lineRule="auto"/>
      <w:outlineLvl w:val="5"/>
    </w:pPr>
    <w:rPr>
      <w:rFonts w:ascii="Arial" w:hAnsi="Arial" w:eastAsia="黑体"/>
      <w:b/>
      <w:sz w:val="24"/>
    </w:rPr>
  </w:style>
  <w:style w:type="paragraph" w:styleId="10">
    <w:name w:val="heading 7"/>
    <w:basedOn w:val="1"/>
    <w:next w:val="1"/>
    <w:link w:val="69"/>
    <w:qFormat/>
    <w:uiPriority w:val="99"/>
    <w:pPr>
      <w:keepNext/>
      <w:keepLines/>
      <w:spacing w:before="240" w:after="64" w:line="316" w:lineRule="auto"/>
      <w:outlineLvl w:val="6"/>
    </w:pPr>
    <w:rPr>
      <w:b/>
      <w:sz w:val="24"/>
    </w:rPr>
  </w:style>
  <w:style w:type="paragraph" w:styleId="11">
    <w:name w:val="heading 8"/>
    <w:basedOn w:val="1"/>
    <w:next w:val="1"/>
    <w:link w:val="70"/>
    <w:qFormat/>
    <w:uiPriority w:val="99"/>
    <w:pPr>
      <w:adjustRightInd w:val="0"/>
      <w:spacing w:line="480" w:lineRule="atLeast"/>
      <w:ind w:left="744" w:leftChars="450" w:hanging="294" w:hangingChars="294"/>
      <w:textAlignment w:val="baseline"/>
      <w:outlineLvl w:val="7"/>
    </w:pPr>
    <w:rPr>
      <w:rFonts w:eastAsia="仿宋_GB2312"/>
      <w:kern w:val="0"/>
      <w:sz w:val="30"/>
    </w:rPr>
  </w:style>
  <w:style w:type="paragraph" w:styleId="12">
    <w:name w:val="heading 9"/>
    <w:basedOn w:val="1"/>
    <w:next w:val="1"/>
    <w:link w:val="71"/>
    <w:qFormat/>
    <w:uiPriority w:val="99"/>
    <w:pPr>
      <w:keepNext/>
      <w:keepLines/>
      <w:adjustRightInd w:val="0"/>
      <w:spacing w:line="480" w:lineRule="atLeast"/>
      <w:ind w:left="993" w:leftChars="715" w:hanging="278" w:hangingChars="278"/>
      <w:textAlignment w:val="baseline"/>
      <w:outlineLvl w:val="8"/>
    </w:pPr>
    <w:rPr>
      <w:rFonts w:eastAsia="仿宋_GB2312"/>
      <w:kern w:val="0"/>
      <w:sz w:val="30"/>
    </w:rPr>
  </w:style>
  <w:style w:type="character" w:default="1" w:styleId="55">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74"/>
    <w:qFormat/>
    <w:uiPriority w:val="99"/>
    <w:pPr>
      <w:spacing w:after="120"/>
    </w:pPr>
  </w:style>
  <w:style w:type="paragraph" w:customStyle="1" w:styleId="3">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13">
    <w:name w:val="List 3"/>
    <w:basedOn w:val="1"/>
    <w:qFormat/>
    <w:uiPriority w:val="99"/>
    <w:pPr>
      <w:ind w:left="600" w:leftChars="400" w:hanging="200" w:hangingChars="200"/>
    </w:pPr>
  </w:style>
  <w:style w:type="paragraph" w:styleId="14">
    <w:name w:val="toc 7"/>
    <w:basedOn w:val="1"/>
    <w:next w:val="1"/>
    <w:qFormat/>
    <w:uiPriority w:val="99"/>
    <w:pPr>
      <w:ind w:left="1260"/>
      <w:jc w:val="left"/>
    </w:pPr>
    <w:rPr>
      <w:sz w:val="18"/>
    </w:rPr>
  </w:style>
  <w:style w:type="paragraph" w:styleId="15">
    <w:name w:val="Normal Indent"/>
    <w:basedOn w:val="1"/>
    <w:qFormat/>
    <w:uiPriority w:val="99"/>
    <w:pPr>
      <w:ind w:firstLine="420"/>
    </w:pPr>
  </w:style>
  <w:style w:type="paragraph" w:styleId="16">
    <w:name w:val="caption"/>
    <w:basedOn w:val="1"/>
    <w:next w:val="1"/>
    <w:qFormat/>
    <w:uiPriority w:val="99"/>
    <w:rPr>
      <w:rFonts w:ascii="Arial" w:hAnsi="Arial" w:eastAsia="黑体" w:cs="Arial"/>
      <w:sz w:val="20"/>
    </w:rPr>
  </w:style>
  <w:style w:type="paragraph" w:styleId="17">
    <w:name w:val="Document Map"/>
    <w:basedOn w:val="1"/>
    <w:link w:val="76"/>
    <w:qFormat/>
    <w:uiPriority w:val="99"/>
    <w:pPr>
      <w:shd w:val="clear" w:color="auto" w:fill="000080"/>
    </w:pPr>
  </w:style>
  <w:style w:type="paragraph" w:styleId="18">
    <w:name w:val="annotation text"/>
    <w:basedOn w:val="1"/>
    <w:link w:val="72"/>
    <w:qFormat/>
    <w:uiPriority w:val="99"/>
    <w:pPr>
      <w:jc w:val="left"/>
    </w:pPr>
  </w:style>
  <w:style w:type="paragraph" w:styleId="19">
    <w:name w:val="Body Text 3"/>
    <w:basedOn w:val="1"/>
    <w:link w:val="77"/>
    <w:qFormat/>
    <w:uiPriority w:val="99"/>
    <w:pPr>
      <w:spacing w:after="120"/>
    </w:pPr>
    <w:rPr>
      <w:sz w:val="16"/>
      <w:szCs w:val="16"/>
    </w:rPr>
  </w:style>
  <w:style w:type="paragraph" w:styleId="20">
    <w:name w:val="Body Text Indent"/>
    <w:basedOn w:val="1"/>
    <w:link w:val="78"/>
    <w:qFormat/>
    <w:uiPriority w:val="99"/>
    <w:pPr>
      <w:ind w:firstLine="630"/>
    </w:pPr>
    <w:rPr>
      <w:sz w:val="28"/>
    </w:rPr>
  </w:style>
  <w:style w:type="paragraph" w:styleId="21">
    <w:name w:val="List 2"/>
    <w:basedOn w:val="1"/>
    <w:qFormat/>
    <w:uiPriority w:val="99"/>
    <w:pPr>
      <w:ind w:left="400" w:leftChars="200" w:hanging="200" w:hangingChars="200"/>
    </w:pPr>
  </w:style>
  <w:style w:type="paragraph" w:styleId="22">
    <w:name w:val="Block Text"/>
    <w:basedOn w:val="1"/>
    <w:qFormat/>
    <w:uiPriority w:val="99"/>
    <w:pPr>
      <w:autoSpaceDE w:val="0"/>
      <w:autoSpaceDN w:val="0"/>
      <w:adjustRightInd w:val="0"/>
      <w:spacing w:line="1270" w:lineRule="exact"/>
      <w:ind w:left="300" w:right="-20" w:hanging="300" w:hangingChars="300"/>
      <w:jc w:val="left"/>
    </w:pPr>
    <w:rPr>
      <w:rFonts w:eastAsia="仿宋_GB2312"/>
      <w:sz w:val="72"/>
      <w:szCs w:val="24"/>
    </w:rPr>
  </w:style>
  <w:style w:type="paragraph" w:styleId="23">
    <w:name w:val="toc 5"/>
    <w:basedOn w:val="1"/>
    <w:next w:val="1"/>
    <w:qFormat/>
    <w:uiPriority w:val="99"/>
    <w:pPr>
      <w:ind w:left="840"/>
      <w:jc w:val="left"/>
    </w:pPr>
    <w:rPr>
      <w:sz w:val="18"/>
    </w:rPr>
  </w:style>
  <w:style w:type="paragraph" w:styleId="24">
    <w:name w:val="toc 3"/>
    <w:basedOn w:val="1"/>
    <w:next w:val="1"/>
    <w:qFormat/>
    <w:uiPriority w:val="99"/>
    <w:pPr>
      <w:ind w:left="420"/>
      <w:jc w:val="left"/>
    </w:pPr>
    <w:rPr>
      <w:i/>
      <w:sz w:val="20"/>
    </w:rPr>
  </w:style>
  <w:style w:type="paragraph" w:styleId="25">
    <w:name w:val="Plain Text"/>
    <w:basedOn w:val="1"/>
    <w:link w:val="79"/>
    <w:qFormat/>
    <w:uiPriority w:val="99"/>
    <w:rPr>
      <w:rFonts w:ascii="宋体"/>
    </w:rPr>
  </w:style>
  <w:style w:type="paragraph" w:styleId="26">
    <w:name w:val="toc 8"/>
    <w:basedOn w:val="1"/>
    <w:next w:val="1"/>
    <w:qFormat/>
    <w:uiPriority w:val="99"/>
    <w:pPr>
      <w:ind w:left="1470"/>
      <w:jc w:val="left"/>
    </w:pPr>
    <w:rPr>
      <w:sz w:val="18"/>
    </w:rPr>
  </w:style>
  <w:style w:type="paragraph" w:styleId="27">
    <w:name w:val="Date"/>
    <w:basedOn w:val="1"/>
    <w:next w:val="1"/>
    <w:link w:val="80"/>
    <w:qFormat/>
    <w:uiPriority w:val="99"/>
    <w:pPr>
      <w:ind w:left="2500" w:leftChars="2500"/>
    </w:pPr>
    <w:rPr>
      <w:szCs w:val="24"/>
    </w:rPr>
  </w:style>
  <w:style w:type="paragraph" w:styleId="28">
    <w:name w:val="Body Text Indent 2"/>
    <w:basedOn w:val="1"/>
    <w:link w:val="81"/>
    <w:qFormat/>
    <w:uiPriority w:val="99"/>
    <w:pPr>
      <w:spacing w:after="120" w:line="480" w:lineRule="auto"/>
      <w:ind w:left="200" w:leftChars="200"/>
    </w:pPr>
  </w:style>
  <w:style w:type="paragraph" w:styleId="29">
    <w:name w:val="endnote text"/>
    <w:basedOn w:val="1"/>
    <w:link w:val="82"/>
    <w:qFormat/>
    <w:uiPriority w:val="99"/>
    <w:pPr>
      <w:widowControl/>
      <w:snapToGrid w:val="0"/>
      <w:jc w:val="left"/>
    </w:pPr>
    <w:rPr>
      <w:rFonts w:ascii="Arial" w:hAnsi="Arial" w:cs="Arial"/>
      <w:kern w:val="0"/>
      <w:sz w:val="20"/>
      <w:szCs w:val="24"/>
      <w:lang w:eastAsia="en-US"/>
    </w:rPr>
  </w:style>
  <w:style w:type="paragraph" w:styleId="30">
    <w:name w:val="Balloon Text"/>
    <w:basedOn w:val="1"/>
    <w:link w:val="83"/>
    <w:qFormat/>
    <w:uiPriority w:val="99"/>
    <w:rPr>
      <w:sz w:val="18"/>
    </w:rPr>
  </w:style>
  <w:style w:type="paragraph" w:styleId="31">
    <w:name w:val="footer"/>
    <w:basedOn w:val="1"/>
    <w:link w:val="84"/>
    <w:qFormat/>
    <w:uiPriority w:val="99"/>
    <w:pPr>
      <w:tabs>
        <w:tab w:val="center" w:pos="4153"/>
        <w:tab w:val="right" w:pos="8306"/>
      </w:tabs>
      <w:snapToGrid w:val="0"/>
      <w:jc w:val="left"/>
    </w:pPr>
    <w:rPr>
      <w:sz w:val="18"/>
    </w:rPr>
  </w:style>
  <w:style w:type="paragraph" w:styleId="32">
    <w:name w:val="header"/>
    <w:basedOn w:val="1"/>
    <w:link w:val="8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3">
    <w:name w:val="toc 1"/>
    <w:basedOn w:val="1"/>
    <w:next w:val="1"/>
    <w:qFormat/>
    <w:uiPriority w:val="99"/>
    <w:pPr>
      <w:tabs>
        <w:tab w:val="right" w:leader="dot" w:pos="8296"/>
      </w:tabs>
      <w:spacing w:before="120" w:after="120"/>
      <w:jc w:val="center"/>
    </w:pPr>
    <w:rPr>
      <w:rFonts w:ascii="宋体"/>
      <w:b/>
      <w:caps/>
      <w:sz w:val="20"/>
    </w:rPr>
  </w:style>
  <w:style w:type="paragraph" w:styleId="34">
    <w:name w:val="List Continue 4"/>
    <w:basedOn w:val="1"/>
    <w:qFormat/>
    <w:uiPriority w:val="99"/>
    <w:pPr>
      <w:spacing w:after="120"/>
      <w:ind w:left="800" w:leftChars="800"/>
    </w:pPr>
  </w:style>
  <w:style w:type="paragraph" w:styleId="35">
    <w:name w:val="toc 4"/>
    <w:basedOn w:val="1"/>
    <w:next w:val="1"/>
    <w:qFormat/>
    <w:uiPriority w:val="99"/>
    <w:pPr>
      <w:ind w:left="630"/>
      <w:jc w:val="left"/>
    </w:pPr>
    <w:rPr>
      <w:sz w:val="18"/>
    </w:rPr>
  </w:style>
  <w:style w:type="paragraph" w:styleId="36">
    <w:name w:val="Subtitle"/>
    <w:basedOn w:val="1"/>
    <w:link w:val="86"/>
    <w:qFormat/>
    <w:uiPriority w:val="99"/>
    <w:pPr>
      <w:widowControl/>
      <w:jc w:val="center"/>
    </w:pPr>
    <w:rPr>
      <w:kern w:val="0"/>
      <w:sz w:val="20"/>
      <w:szCs w:val="24"/>
      <w:u w:val="single"/>
      <w:lang w:eastAsia="en-US"/>
    </w:rPr>
  </w:style>
  <w:style w:type="paragraph" w:styleId="37">
    <w:name w:val="List"/>
    <w:basedOn w:val="1"/>
    <w:qFormat/>
    <w:uiPriority w:val="99"/>
    <w:pPr>
      <w:ind w:left="200" w:hanging="200" w:hangingChars="200"/>
    </w:pPr>
  </w:style>
  <w:style w:type="paragraph" w:styleId="38">
    <w:name w:val="footnote text"/>
    <w:basedOn w:val="1"/>
    <w:link w:val="87"/>
    <w:qFormat/>
    <w:uiPriority w:val="99"/>
    <w:pPr>
      <w:snapToGrid w:val="0"/>
      <w:jc w:val="left"/>
    </w:pPr>
    <w:rPr>
      <w:sz w:val="18"/>
      <w:szCs w:val="18"/>
    </w:rPr>
  </w:style>
  <w:style w:type="paragraph" w:styleId="39">
    <w:name w:val="toc 6"/>
    <w:basedOn w:val="1"/>
    <w:next w:val="1"/>
    <w:qFormat/>
    <w:uiPriority w:val="99"/>
    <w:pPr>
      <w:ind w:left="1050"/>
      <w:jc w:val="left"/>
    </w:pPr>
    <w:rPr>
      <w:sz w:val="18"/>
    </w:rPr>
  </w:style>
  <w:style w:type="paragraph" w:styleId="40">
    <w:name w:val="List 5"/>
    <w:basedOn w:val="1"/>
    <w:qFormat/>
    <w:uiPriority w:val="99"/>
    <w:pPr>
      <w:ind w:left="1000" w:leftChars="800" w:hanging="200" w:hangingChars="200"/>
    </w:pPr>
  </w:style>
  <w:style w:type="paragraph" w:styleId="41">
    <w:name w:val="Body Text Indent 3"/>
    <w:basedOn w:val="1"/>
    <w:link w:val="88"/>
    <w:qFormat/>
    <w:uiPriority w:val="99"/>
    <w:pPr>
      <w:spacing w:after="120"/>
      <w:ind w:left="200" w:leftChars="200"/>
    </w:pPr>
    <w:rPr>
      <w:sz w:val="16"/>
    </w:rPr>
  </w:style>
  <w:style w:type="paragraph" w:styleId="42">
    <w:name w:val="toc 2"/>
    <w:basedOn w:val="1"/>
    <w:next w:val="1"/>
    <w:qFormat/>
    <w:uiPriority w:val="99"/>
    <w:pPr>
      <w:ind w:left="210"/>
      <w:jc w:val="left"/>
    </w:pPr>
    <w:rPr>
      <w:smallCaps/>
      <w:sz w:val="20"/>
    </w:rPr>
  </w:style>
  <w:style w:type="paragraph" w:styleId="43">
    <w:name w:val="toc 9"/>
    <w:basedOn w:val="1"/>
    <w:next w:val="1"/>
    <w:qFormat/>
    <w:uiPriority w:val="99"/>
    <w:pPr>
      <w:ind w:left="1680"/>
      <w:jc w:val="left"/>
    </w:pPr>
    <w:rPr>
      <w:sz w:val="18"/>
    </w:rPr>
  </w:style>
  <w:style w:type="paragraph" w:styleId="44">
    <w:name w:val="Body Text 2"/>
    <w:basedOn w:val="1"/>
    <w:link w:val="89"/>
    <w:qFormat/>
    <w:uiPriority w:val="99"/>
    <w:rPr>
      <w:rFonts w:ascii="宋体"/>
      <w:sz w:val="24"/>
    </w:rPr>
  </w:style>
  <w:style w:type="paragraph" w:styleId="45">
    <w:name w:val="List 4"/>
    <w:basedOn w:val="1"/>
    <w:qFormat/>
    <w:uiPriority w:val="99"/>
    <w:pPr>
      <w:ind w:left="800" w:leftChars="600" w:hanging="200" w:hangingChars="200"/>
    </w:pPr>
  </w:style>
  <w:style w:type="paragraph" w:styleId="46">
    <w:name w:val="List Continue 2"/>
    <w:basedOn w:val="1"/>
    <w:qFormat/>
    <w:uiPriority w:val="99"/>
    <w:pPr>
      <w:spacing w:after="120"/>
      <w:ind w:left="400" w:leftChars="400"/>
    </w:pPr>
  </w:style>
  <w:style w:type="paragraph" w:styleId="47">
    <w:name w:val="HTML Preformatted"/>
    <w:basedOn w:val="1"/>
    <w:link w:val="9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color w:val="000000"/>
      <w:kern w:val="0"/>
      <w:sz w:val="24"/>
      <w:szCs w:val="24"/>
    </w:rPr>
  </w:style>
  <w:style w:type="paragraph" w:styleId="48">
    <w:name w:val="Normal (Web)"/>
    <w:basedOn w:val="1"/>
    <w:qFormat/>
    <w:uiPriority w:val="99"/>
    <w:pPr>
      <w:widowControl/>
      <w:spacing w:before="100" w:beforeAutospacing="1" w:after="100" w:afterAutospacing="1"/>
      <w:jc w:val="left"/>
    </w:pPr>
    <w:rPr>
      <w:rFonts w:ascii="宋体"/>
      <w:kern w:val="0"/>
      <w:sz w:val="24"/>
    </w:rPr>
  </w:style>
  <w:style w:type="paragraph" w:styleId="49">
    <w:name w:val="List Continue 3"/>
    <w:basedOn w:val="1"/>
    <w:qFormat/>
    <w:uiPriority w:val="99"/>
    <w:pPr>
      <w:spacing w:after="120"/>
      <w:ind w:left="600" w:leftChars="600"/>
    </w:pPr>
  </w:style>
  <w:style w:type="paragraph" w:styleId="50">
    <w:name w:val="index 1"/>
    <w:basedOn w:val="1"/>
    <w:next w:val="1"/>
    <w:qFormat/>
    <w:uiPriority w:val="99"/>
    <w:pPr>
      <w:spacing w:line="220" w:lineRule="exact"/>
      <w:jc w:val="center"/>
    </w:pPr>
    <w:rPr>
      <w:rFonts w:ascii="仿宋_GB2312" w:eastAsia="仿宋_GB2312"/>
      <w:szCs w:val="21"/>
    </w:rPr>
  </w:style>
  <w:style w:type="paragraph" w:styleId="51">
    <w:name w:val="Title"/>
    <w:basedOn w:val="1"/>
    <w:link w:val="91"/>
    <w:qFormat/>
    <w:uiPriority w:val="99"/>
    <w:pPr>
      <w:spacing w:before="240" w:after="60"/>
      <w:jc w:val="center"/>
      <w:outlineLvl w:val="0"/>
    </w:pPr>
    <w:rPr>
      <w:rFonts w:ascii="Arial" w:hAnsi="Arial" w:cs="Arial"/>
      <w:b/>
      <w:bCs/>
      <w:sz w:val="32"/>
      <w:szCs w:val="32"/>
    </w:rPr>
  </w:style>
  <w:style w:type="paragraph" w:styleId="52">
    <w:name w:val="annotation subject"/>
    <w:basedOn w:val="18"/>
    <w:next w:val="18"/>
    <w:link w:val="73"/>
    <w:qFormat/>
    <w:uiPriority w:val="99"/>
    <w:rPr>
      <w:b/>
    </w:rPr>
  </w:style>
  <w:style w:type="paragraph" w:styleId="53">
    <w:name w:val="Body Text First Indent"/>
    <w:basedOn w:val="2"/>
    <w:link w:val="75"/>
    <w:qFormat/>
    <w:uiPriority w:val="99"/>
    <w:pPr>
      <w:ind w:firstLine="100" w:firstLineChars="100"/>
    </w:pPr>
  </w:style>
  <w:style w:type="character" w:styleId="56">
    <w:name w:val="Strong"/>
    <w:basedOn w:val="55"/>
    <w:qFormat/>
    <w:uiPriority w:val="99"/>
    <w:rPr>
      <w:rFonts w:cs="Times New Roman"/>
      <w:b/>
    </w:rPr>
  </w:style>
  <w:style w:type="character" w:styleId="57">
    <w:name w:val="endnote reference"/>
    <w:basedOn w:val="55"/>
    <w:qFormat/>
    <w:uiPriority w:val="99"/>
    <w:rPr>
      <w:rFonts w:cs="Times New Roman"/>
      <w:vertAlign w:val="superscript"/>
    </w:rPr>
  </w:style>
  <w:style w:type="character" w:styleId="58">
    <w:name w:val="page number"/>
    <w:basedOn w:val="55"/>
    <w:qFormat/>
    <w:uiPriority w:val="99"/>
    <w:rPr>
      <w:rFonts w:cs="Times New Roman"/>
    </w:rPr>
  </w:style>
  <w:style w:type="character" w:styleId="59">
    <w:name w:val="FollowedHyperlink"/>
    <w:basedOn w:val="55"/>
    <w:qFormat/>
    <w:uiPriority w:val="99"/>
    <w:rPr>
      <w:rFonts w:cs="Times New Roman"/>
      <w:color w:val="800080"/>
      <w:u w:val="single"/>
    </w:rPr>
  </w:style>
  <w:style w:type="character" w:styleId="60">
    <w:name w:val="Hyperlink"/>
    <w:basedOn w:val="55"/>
    <w:qFormat/>
    <w:uiPriority w:val="99"/>
    <w:rPr>
      <w:rFonts w:cs="Times New Roman"/>
      <w:color w:val="0000FF"/>
      <w:u w:val="single"/>
    </w:rPr>
  </w:style>
  <w:style w:type="character" w:styleId="61">
    <w:name w:val="annotation reference"/>
    <w:basedOn w:val="55"/>
    <w:qFormat/>
    <w:uiPriority w:val="99"/>
    <w:rPr>
      <w:rFonts w:cs="Times New Roman"/>
      <w:sz w:val="21"/>
    </w:rPr>
  </w:style>
  <w:style w:type="character" w:styleId="62">
    <w:name w:val="footnote reference"/>
    <w:basedOn w:val="55"/>
    <w:qFormat/>
    <w:uiPriority w:val="99"/>
    <w:rPr>
      <w:rFonts w:cs="Times New Roman"/>
      <w:vertAlign w:val="superscript"/>
    </w:rPr>
  </w:style>
  <w:style w:type="character" w:customStyle="1" w:styleId="63">
    <w:name w:val="标题 1 字符"/>
    <w:basedOn w:val="55"/>
    <w:link w:val="4"/>
    <w:qFormat/>
    <w:locked/>
    <w:uiPriority w:val="99"/>
    <w:rPr>
      <w:rFonts w:cs="Times New Roman"/>
      <w:b/>
      <w:kern w:val="44"/>
      <w:sz w:val="44"/>
    </w:rPr>
  </w:style>
  <w:style w:type="character" w:customStyle="1" w:styleId="64">
    <w:name w:val="标题 2 字符"/>
    <w:basedOn w:val="55"/>
    <w:link w:val="5"/>
    <w:qFormat/>
    <w:locked/>
    <w:uiPriority w:val="99"/>
    <w:rPr>
      <w:rFonts w:ascii="Arial" w:hAnsi="Arial" w:eastAsia="黑体" w:cs="Times New Roman"/>
      <w:b/>
      <w:sz w:val="32"/>
    </w:rPr>
  </w:style>
  <w:style w:type="character" w:customStyle="1" w:styleId="65">
    <w:name w:val="标题 3 字符"/>
    <w:basedOn w:val="55"/>
    <w:link w:val="6"/>
    <w:qFormat/>
    <w:locked/>
    <w:uiPriority w:val="99"/>
    <w:rPr>
      <w:rFonts w:cs="Times New Roman"/>
      <w:b/>
      <w:kern w:val="2"/>
      <w:sz w:val="32"/>
    </w:rPr>
  </w:style>
  <w:style w:type="character" w:customStyle="1" w:styleId="66">
    <w:name w:val="标题 4 字符"/>
    <w:basedOn w:val="55"/>
    <w:link w:val="7"/>
    <w:qFormat/>
    <w:locked/>
    <w:uiPriority w:val="99"/>
    <w:rPr>
      <w:rFonts w:ascii="Arial" w:hAnsi="Arial" w:eastAsia="黑体" w:cs="Times New Roman"/>
      <w:b/>
      <w:kern w:val="2"/>
      <w:sz w:val="28"/>
    </w:rPr>
  </w:style>
  <w:style w:type="character" w:customStyle="1" w:styleId="67">
    <w:name w:val="标题 5 字符"/>
    <w:basedOn w:val="55"/>
    <w:link w:val="8"/>
    <w:qFormat/>
    <w:locked/>
    <w:uiPriority w:val="99"/>
    <w:rPr>
      <w:rFonts w:cs="Times New Roman"/>
      <w:b/>
      <w:kern w:val="2"/>
      <w:sz w:val="28"/>
    </w:rPr>
  </w:style>
  <w:style w:type="character" w:customStyle="1" w:styleId="68">
    <w:name w:val="标题 6 字符"/>
    <w:basedOn w:val="55"/>
    <w:link w:val="9"/>
    <w:qFormat/>
    <w:locked/>
    <w:uiPriority w:val="99"/>
    <w:rPr>
      <w:rFonts w:ascii="Arial" w:hAnsi="Arial" w:eastAsia="黑体" w:cs="Times New Roman"/>
      <w:b/>
      <w:kern w:val="2"/>
      <w:sz w:val="24"/>
    </w:rPr>
  </w:style>
  <w:style w:type="character" w:customStyle="1" w:styleId="69">
    <w:name w:val="标题 7 字符"/>
    <w:basedOn w:val="55"/>
    <w:link w:val="10"/>
    <w:qFormat/>
    <w:locked/>
    <w:uiPriority w:val="99"/>
    <w:rPr>
      <w:rFonts w:cs="Times New Roman"/>
      <w:b/>
      <w:kern w:val="2"/>
      <w:sz w:val="24"/>
    </w:rPr>
  </w:style>
  <w:style w:type="character" w:customStyle="1" w:styleId="70">
    <w:name w:val="标题 8 字符"/>
    <w:basedOn w:val="55"/>
    <w:link w:val="11"/>
    <w:qFormat/>
    <w:locked/>
    <w:uiPriority w:val="99"/>
    <w:rPr>
      <w:rFonts w:eastAsia="仿宋_GB2312" w:cs="Times New Roman"/>
      <w:sz w:val="30"/>
    </w:rPr>
  </w:style>
  <w:style w:type="character" w:customStyle="1" w:styleId="71">
    <w:name w:val="标题 9 字符"/>
    <w:basedOn w:val="55"/>
    <w:link w:val="12"/>
    <w:qFormat/>
    <w:locked/>
    <w:uiPriority w:val="99"/>
    <w:rPr>
      <w:rFonts w:eastAsia="仿宋_GB2312" w:cs="Times New Roman"/>
      <w:sz w:val="30"/>
    </w:rPr>
  </w:style>
  <w:style w:type="character" w:customStyle="1" w:styleId="72">
    <w:name w:val="批注文字 字符"/>
    <w:basedOn w:val="55"/>
    <w:link w:val="18"/>
    <w:qFormat/>
    <w:locked/>
    <w:uiPriority w:val="99"/>
    <w:rPr>
      <w:rFonts w:cs="Times New Roman"/>
      <w:kern w:val="2"/>
      <w:sz w:val="21"/>
    </w:rPr>
  </w:style>
  <w:style w:type="character" w:customStyle="1" w:styleId="73">
    <w:name w:val="批注主题 字符"/>
    <w:basedOn w:val="72"/>
    <w:link w:val="52"/>
    <w:qFormat/>
    <w:locked/>
    <w:uiPriority w:val="99"/>
    <w:rPr>
      <w:rFonts w:cs="Times New Roman"/>
      <w:b/>
      <w:kern w:val="2"/>
      <w:sz w:val="21"/>
    </w:rPr>
  </w:style>
  <w:style w:type="character" w:customStyle="1" w:styleId="74">
    <w:name w:val="正文文本 字符"/>
    <w:basedOn w:val="55"/>
    <w:link w:val="2"/>
    <w:qFormat/>
    <w:locked/>
    <w:uiPriority w:val="99"/>
    <w:rPr>
      <w:rFonts w:cs="Times New Roman"/>
      <w:kern w:val="2"/>
      <w:sz w:val="21"/>
    </w:rPr>
  </w:style>
  <w:style w:type="character" w:customStyle="1" w:styleId="75">
    <w:name w:val="正文文本首行缩进 字符"/>
    <w:basedOn w:val="74"/>
    <w:link w:val="53"/>
    <w:qFormat/>
    <w:locked/>
    <w:uiPriority w:val="99"/>
    <w:rPr>
      <w:rFonts w:cs="Times New Roman"/>
      <w:kern w:val="2"/>
      <w:sz w:val="21"/>
    </w:rPr>
  </w:style>
  <w:style w:type="character" w:customStyle="1" w:styleId="76">
    <w:name w:val="文档结构图 字符"/>
    <w:basedOn w:val="55"/>
    <w:link w:val="17"/>
    <w:qFormat/>
    <w:locked/>
    <w:uiPriority w:val="99"/>
    <w:rPr>
      <w:rFonts w:cs="Times New Roman"/>
      <w:kern w:val="2"/>
      <w:sz w:val="21"/>
      <w:shd w:val="clear" w:color="auto" w:fill="000080"/>
    </w:rPr>
  </w:style>
  <w:style w:type="character" w:customStyle="1" w:styleId="77">
    <w:name w:val="正文文本 3 字符"/>
    <w:basedOn w:val="55"/>
    <w:link w:val="19"/>
    <w:qFormat/>
    <w:locked/>
    <w:uiPriority w:val="99"/>
    <w:rPr>
      <w:rFonts w:cs="Times New Roman"/>
      <w:kern w:val="2"/>
      <w:sz w:val="16"/>
      <w:szCs w:val="16"/>
    </w:rPr>
  </w:style>
  <w:style w:type="character" w:customStyle="1" w:styleId="78">
    <w:name w:val="正文文本缩进 字符"/>
    <w:basedOn w:val="55"/>
    <w:link w:val="20"/>
    <w:qFormat/>
    <w:locked/>
    <w:uiPriority w:val="99"/>
    <w:rPr>
      <w:rFonts w:cs="Times New Roman"/>
      <w:kern w:val="2"/>
      <w:sz w:val="28"/>
    </w:rPr>
  </w:style>
  <w:style w:type="character" w:customStyle="1" w:styleId="79">
    <w:name w:val="纯文本 字符"/>
    <w:basedOn w:val="55"/>
    <w:link w:val="25"/>
    <w:qFormat/>
    <w:locked/>
    <w:uiPriority w:val="99"/>
    <w:rPr>
      <w:rFonts w:ascii="宋体" w:cs="Times New Roman"/>
      <w:kern w:val="2"/>
      <w:sz w:val="21"/>
    </w:rPr>
  </w:style>
  <w:style w:type="character" w:customStyle="1" w:styleId="80">
    <w:name w:val="日期 字符"/>
    <w:basedOn w:val="55"/>
    <w:link w:val="27"/>
    <w:qFormat/>
    <w:locked/>
    <w:uiPriority w:val="99"/>
    <w:rPr>
      <w:rFonts w:cs="Times New Roman"/>
      <w:kern w:val="2"/>
      <w:sz w:val="24"/>
      <w:szCs w:val="24"/>
    </w:rPr>
  </w:style>
  <w:style w:type="character" w:customStyle="1" w:styleId="81">
    <w:name w:val="正文文本缩进 2 字符"/>
    <w:basedOn w:val="55"/>
    <w:link w:val="28"/>
    <w:qFormat/>
    <w:locked/>
    <w:uiPriority w:val="99"/>
    <w:rPr>
      <w:rFonts w:cs="Times New Roman"/>
      <w:kern w:val="2"/>
      <w:sz w:val="21"/>
    </w:rPr>
  </w:style>
  <w:style w:type="character" w:customStyle="1" w:styleId="82">
    <w:name w:val="尾注文本 字符"/>
    <w:basedOn w:val="55"/>
    <w:link w:val="29"/>
    <w:qFormat/>
    <w:locked/>
    <w:uiPriority w:val="99"/>
    <w:rPr>
      <w:rFonts w:ascii="Arial" w:hAnsi="Arial" w:cs="Arial"/>
      <w:sz w:val="24"/>
      <w:szCs w:val="24"/>
      <w:lang w:eastAsia="en-US"/>
    </w:rPr>
  </w:style>
  <w:style w:type="character" w:customStyle="1" w:styleId="83">
    <w:name w:val="批注框文本 字符"/>
    <w:basedOn w:val="55"/>
    <w:link w:val="30"/>
    <w:qFormat/>
    <w:locked/>
    <w:uiPriority w:val="99"/>
    <w:rPr>
      <w:rFonts w:cs="Times New Roman"/>
      <w:kern w:val="2"/>
      <w:sz w:val="18"/>
    </w:rPr>
  </w:style>
  <w:style w:type="character" w:customStyle="1" w:styleId="84">
    <w:name w:val="页脚 字符"/>
    <w:basedOn w:val="55"/>
    <w:link w:val="31"/>
    <w:qFormat/>
    <w:locked/>
    <w:uiPriority w:val="99"/>
    <w:rPr>
      <w:rFonts w:cs="Times New Roman"/>
      <w:kern w:val="2"/>
      <w:sz w:val="18"/>
    </w:rPr>
  </w:style>
  <w:style w:type="character" w:customStyle="1" w:styleId="85">
    <w:name w:val="页眉 字符"/>
    <w:basedOn w:val="55"/>
    <w:link w:val="32"/>
    <w:qFormat/>
    <w:locked/>
    <w:uiPriority w:val="99"/>
    <w:rPr>
      <w:rFonts w:cs="Times New Roman"/>
      <w:kern w:val="2"/>
      <w:sz w:val="18"/>
    </w:rPr>
  </w:style>
  <w:style w:type="character" w:customStyle="1" w:styleId="86">
    <w:name w:val="副标题 字符"/>
    <w:basedOn w:val="55"/>
    <w:link w:val="36"/>
    <w:qFormat/>
    <w:locked/>
    <w:uiPriority w:val="99"/>
    <w:rPr>
      <w:rFonts w:cs="Times New Roman"/>
      <w:sz w:val="24"/>
      <w:szCs w:val="24"/>
      <w:u w:val="single"/>
      <w:lang w:eastAsia="en-US"/>
    </w:rPr>
  </w:style>
  <w:style w:type="character" w:customStyle="1" w:styleId="87">
    <w:name w:val="脚注文本 字符"/>
    <w:basedOn w:val="55"/>
    <w:link w:val="38"/>
    <w:qFormat/>
    <w:locked/>
    <w:uiPriority w:val="99"/>
    <w:rPr>
      <w:rFonts w:cs="Times New Roman"/>
      <w:kern w:val="2"/>
      <w:sz w:val="18"/>
      <w:szCs w:val="18"/>
    </w:rPr>
  </w:style>
  <w:style w:type="character" w:customStyle="1" w:styleId="88">
    <w:name w:val="正文文本缩进 3 字符"/>
    <w:basedOn w:val="55"/>
    <w:link w:val="41"/>
    <w:qFormat/>
    <w:locked/>
    <w:uiPriority w:val="99"/>
    <w:rPr>
      <w:rFonts w:cs="Times New Roman"/>
      <w:kern w:val="2"/>
      <w:sz w:val="16"/>
    </w:rPr>
  </w:style>
  <w:style w:type="character" w:customStyle="1" w:styleId="89">
    <w:name w:val="正文文本 2 字符"/>
    <w:basedOn w:val="55"/>
    <w:link w:val="44"/>
    <w:qFormat/>
    <w:locked/>
    <w:uiPriority w:val="99"/>
    <w:rPr>
      <w:rFonts w:ascii="宋体" w:cs="Times New Roman"/>
      <w:kern w:val="2"/>
      <w:sz w:val="24"/>
    </w:rPr>
  </w:style>
  <w:style w:type="character" w:customStyle="1" w:styleId="90">
    <w:name w:val="HTML 预设格式 字符"/>
    <w:basedOn w:val="55"/>
    <w:link w:val="47"/>
    <w:qFormat/>
    <w:locked/>
    <w:uiPriority w:val="99"/>
    <w:rPr>
      <w:rFonts w:ascii="宋体" w:cs="宋体"/>
      <w:color w:val="000000"/>
      <w:sz w:val="24"/>
      <w:szCs w:val="24"/>
    </w:rPr>
  </w:style>
  <w:style w:type="character" w:customStyle="1" w:styleId="91">
    <w:name w:val="标题 字符"/>
    <w:basedOn w:val="55"/>
    <w:link w:val="51"/>
    <w:qFormat/>
    <w:locked/>
    <w:uiPriority w:val="99"/>
    <w:rPr>
      <w:rFonts w:ascii="Arial" w:hAnsi="Arial" w:cs="Arial"/>
      <w:b/>
      <w:bCs/>
      <w:kern w:val="2"/>
      <w:sz w:val="32"/>
      <w:szCs w:val="32"/>
    </w:rPr>
  </w:style>
  <w:style w:type="character" w:customStyle="1" w:styleId="92">
    <w:name w:val="Section Char1"/>
    <w:qFormat/>
    <w:uiPriority w:val="99"/>
    <w:rPr>
      <w:rFonts w:eastAsia="宋体"/>
      <w:b/>
      <w:kern w:val="2"/>
      <w:sz w:val="32"/>
      <w:lang w:val="en-US" w:eastAsia="zh-CN"/>
    </w:rPr>
  </w:style>
  <w:style w:type="character" w:customStyle="1" w:styleId="93">
    <w:name w:val="Char Char12"/>
    <w:qFormat/>
    <w:uiPriority w:val="99"/>
    <w:rPr>
      <w:rFonts w:eastAsia="宋体"/>
      <w:kern w:val="2"/>
      <w:sz w:val="18"/>
      <w:lang w:val="en-US" w:eastAsia="zh-CN"/>
    </w:rPr>
  </w:style>
  <w:style w:type="character" w:customStyle="1" w:styleId="94">
    <w:name w:val="标题 2 Char Char"/>
    <w:qFormat/>
    <w:uiPriority w:val="99"/>
    <w:rPr>
      <w:rFonts w:ascii="Arial" w:hAnsi="Arial" w:eastAsia="黑体"/>
      <w:b/>
      <w:kern w:val="2"/>
      <w:sz w:val="32"/>
      <w:lang w:val="en-US" w:eastAsia="zh-CN"/>
    </w:rPr>
  </w:style>
  <w:style w:type="character" w:customStyle="1" w:styleId="95">
    <w:name w:val="font161"/>
    <w:qFormat/>
    <w:uiPriority w:val="99"/>
    <w:rPr>
      <w:b/>
      <w:sz w:val="32"/>
    </w:rPr>
  </w:style>
  <w:style w:type="character" w:customStyle="1" w:styleId="96">
    <w:name w:val="style121"/>
    <w:qFormat/>
    <w:uiPriority w:val="99"/>
    <w:rPr>
      <w:rFonts w:ascii="宋体" w:eastAsia="宋体"/>
      <w:sz w:val="18"/>
    </w:rPr>
  </w:style>
  <w:style w:type="character" w:customStyle="1" w:styleId="97">
    <w:name w:val="Char Char13"/>
    <w:qFormat/>
    <w:uiPriority w:val="99"/>
    <w:rPr>
      <w:rFonts w:eastAsia="宋体"/>
      <w:kern w:val="2"/>
      <w:sz w:val="18"/>
      <w:lang w:val="en-US" w:eastAsia="zh-CN"/>
    </w:rPr>
  </w:style>
  <w:style w:type="character" w:customStyle="1" w:styleId="98">
    <w:name w:val="正文文字4 Char"/>
    <w:qFormat/>
    <w:uiPriority w:val="99"/>
    <w:rPr>
      <w:rFonts w:eastAsia="宋体"/>
      <w:kern w:val="2"/>
      <w:sz w:val="24"/>
      <w:lang w:val="en-US" w:eastAsia="zh-CN"/>
    </w:rPr>
  </w:style>
  <w:style w:type="character" w:customStyle="1" w:styleId="99">
    <w:name w:val="Char Char11"/>
    <w:qFormat/>
    <w:uiPriority w:val="99"/>
    <w:rPr>
      <w:rFonts w:eastAsia="黑体"/>
      <w:kern w:val="2"/>
      <w:sz w:val="44"/>
      <w:lang w:val="en-US" w:eastAsia="zh-CN"/>
    </w:rPr>
  </w:style>
  <w:style w:type="character" w:customStyle="1" w:styleId="100">
    <w:name w:val="14t1"/>
    <w:qFormat/>
    <w:uiPriority w:val="99"/>
    <w:rPr>
      <w:rFonts w:ascii="宋体" w:eastAsia="宋体"/>
      <w:sz w:val="11"/>
    </w:rPr>
  </w:style>
  <w:style w:type="character" w:customStyle="1" w:styleId="101">
    <w:name w:val="Char Char18"/>
    <w:qFormat/>
    <w:uiPriority w:val="99"/>
    <w:rPr>
      <w:rFonts w:ascii="宋体" w:hAnsi="Courier New" w:eastAsia="宋体"/>
      <w:color w:val="000000"/>
      <w:kern w:val="2"/>
      <w:sz w:val="21"/>
      <w:lang w:val="en-US" w:eastAsia="zh-CN"/>
    </w:rPr>
  </w:style>
  <w:style w:type="character" w:customStyle="1" w:styleId="102">
    <w:name w:val="Section Char"/>
    <w:qFormat/>
    <w:uiPriority w:val="99"/>
    <w:rPr>
      <w:rFonts w:ascii="仿宋_GB2312" w:eastAsia="仿宋_GB2312"/>
      <w:b/>
      <w:sz w:val="28"/>
      <w:lang w:val="en-US" w:eastAsia="zh-CN"/>
    </w:rPr>
  </w:style>
  <w:style w:type="character" w:customStyle="1" w:styleId="103">
    <w:name w:val="normaltext1"/>
    <w:qFormat/>
    <w:uiPriority w:val="99"/>
    <w:rPr>
      <w:rFonts w:ascii="??" w:hAnsi="??"/>
      <w:sz w:val="9"/>
    </w:rPr>
  </w:style>
  <w:style w:type="character" w:customStyle="1" w:styleId="104">
    <w:name w:val="style21"/>
    <w:qFormat/>
    <w:uiPriority w:val="99"/>
    <w:rPr>
      <w:b/>
      <w:sz w:val="28"/>
    </w:rPr>
  </w:style>
  <w:style w:type="character" w:customStyle="1" w:styleId="105">
    <w:name w:val="标题 2 Char Char Char2"/>
    <w:qFormat/>
    <w:uiPriority w:val="99"/>
    <w:rPr>
      <w:rFonts w:ascii="Cambria" w:hAnsi="Cambria" w:eastAsia="宋体"/>
      <w:b/>
      <w:kern w:val="2"/>
      <w:sz w:val="32"/>
      <w:lang w:val="en-US" w:eastAsia="zh-CN"/>
    </w:rPr>
  </w:style>
  <w:style w:type="character" w:customStyle="1" w:styleId="106">
    <w:name w:val="PIM 6 Char"/>
    <w:qFormat/>
    <w:uiPriority w:val="99"/>
    <w:rPr>
      <w:rFonts w:ascii="Arial" w:hAnsi="Arial" w:eastAsia="黑体"/>
      <w:b/>
      <w:kern w:val="2"/>
      <w:sz w:val="24"/>
      <w:lang w:val="en-US" w:eastAsia="zh-CN"/>
    </w:rPr>
  </w:style>
  <w:style w:type="character" w:customStyle="1" w:styleId="107">
    <w:name w:val="l1"/>
    <w:qFormat/>
    <w:uiPriority w:val="99"/>
  </w:style>
  <w:style w:type="character" w:customStyle="1" w:styleId="108">
    <w:name w:val="H1 Char2"/>
    <w:qFormat/>
    <w:uiPriority w:val="99"/>
    <w:rPr>
      <w:rFonts w:eastAsia="宋体"/>
      <w:b/>
      <w:kern w:val="44"/>
      <w:sz w:val="44"/>
      <w:lang w:val="en-US" w:eastAsia="zh-CN"/>
    </w:rPr>
  </w:style>
  <w:style w:type="character" w:customStyle="1" w:styleId="109">
    <w:name w:val="ss16"/>
    <w:qFormat/>
    <w:uiPriority w:val="99"/>
    <w:rPr>
      <w:rFonts w:ascii="宋体" w:eastAsia="宋体"/>
      <w:color w:val="000000"/>
      <w:sz w:val="9"/>
    </w:rPr>
  </w:style>
  <w:style w:type="character" w:customStyle="1" w:styleId="110">
    <w:name w:val="H1 Char1"/>
    <w:qFormat/>
    <w:uiPriority w:val="99"/>
    <w:rPr>
      <w:rFonts w:eastAsia="黑体"/>
      <w:kern w:val="2"/>
      <w:sz w:val="44"/>
      <w:lang w:val="en-US" w:eastAsia="zh-CN"/>
    </w:rPr>
  </w:style>
  <w:style w:type="character" w:customStyle="1" w:styleId="111">
    <w:name w:val="普通文字 Char Char2"/>
    <w:qFormat/>
    <w:uiPriority w:val="99"/>
    <w:rPr>
      <w:rFonts w:ascii="宋体" w:eastAsia="宋体"/>
      <w:kern w:val="2"/>
      <w:sz w:val="21"/>
      <w:lang w:val="en-US" w:eastAsia="zh-CN"/>
    </w:rPr>
  </w:style>
  <w:style w:type="character" w:customStyle="1" w:styleId="112">
    <w:name w:val="title11"/>
    <w:qFormat/>
    <w:uiPriority w:val="99"/>
    <w:rPr>
      <w:b/>
      <w:color w:val="FFFFFF"/>
      <w:sz w:val="11"/>
    </w:rPr>
  </w:style>
  <w:style w:type="character" w:customStyle="1" w:styleId="113">
    <w:name w:val="docpro"/>
    <w:qFormat/>
    <w:uiPriority w:val="99"/>
  </w:style>
  <w:style w:type="character" w:customStyle="1" w:styleId="114">
    <w:name w:val="0d1471"/>
    <w:qFormat/>
    <w:uiPriority w:val="99"/>
    <w:rPr>
      <w:color w:val="000000"/>
      <w:sz w:val="11"/>
      <w:u w:val="none"/>
    </w:rPr>
  </w:style>
  <w:style w:type="character" w:customStyle="1" w:styleId="115">
    <w:name w:val="Char Char Char Char Char Char Char"/>
    <w:link w:val="116"/>
    <w:qFormat/>
    <w:locked/>
    <w:uiPriority w:val="99"/>
    <w:rPr>
      <w:kern w:val="2"/>
      <w:sz w:val="21"/>
    </w:rPr>
  </w:style>
  <w:style w:type="paragraph" w:customStyle="1" w:styleId="116">
    <w:name w:val="Char Char Char Char Char Char"/>
    <w:basedOn w:val="1"/>
    <w:link w:val="115"/>
    <w:qFormat/>
    <w:uiPriority w:val="99"/>
  </w:style>
  <w:style w:type="character" w:customStyle="1" w:styleId="117">
    <w:name w:val="H1 Char"/>
    <w:qFormat/>
    <w:uiPriority w:val="99"/>
    <w:rPr>
      <w:rFonts w:eastAsia="宋体"/>
      <w:b/>
      <w:kern w:val="44"/>
      <w:sz w:val="44"/>
      <w:lang w:val="en-US" w:eastAsia="zh-CN"/>
    </w:rPr>
  </w:style>
  <w:style w:type="character" w:customStyle="1" w:styleId="118">
    <w:name w:val="ht1"/>
    <w:qFormat/>
    <w:uiPriority w:val="99"/>
    <w:rPr>
      <w:rFonts w:ascii="黑体" w:eastAsia="黑体"/>
      <w:b/>
    </w:rPr>
  </w:style>
  <w:style w:type="character" w:customStyle="1" w:styleId="119">
    <w:name w:val="textcontents"/>
    <w:qFormat/>
    <w:uiPriority w:val="99"/>
  </w:style>
  <w:style w:type="character" w:customStyle="1" w:styleId="120">
    <w:name w:val="Char Char1"/>
    <w:qFormat/>
    <w:uiPriority w:val="99"/>
    <w:rPr>
      <w:rFonts w:ascii="Arial" w:hAnsi="Arial" w:eastAsia="黑体"/>
      <w:kern w:val="2"/>
      <w:sz w:val="32"/>
      <w:lang w:val="en-US" w:eastAsia="zh-CN"/>
    </w:rPr>
  </w:style>
  <w:style w:type="character" w:customStyle="1" w:styleId="121">
    <w:name w:val="ca-141"/>
    <w:qFormat/>
    <w:uiPriority w:val="99"/>
    <w:rPr>
      <w:rFonts w:ascii="仿宋_GB2312" w:eastAsia="仿宋_GB2312"/>
      <w:sz w:val="21"/>
    </w:rPr>
  </w:style>
  <w:style w:type="character" w:customStyle="1" w:styleId="122">
    <w:name w:val="编号  ww Char1"/>
    <w:qFormat/>
    <w:uiPriority w:val="99"/>
    <w:rPr>
      <w:rFonts w:ascii="宋体" w:eastAsia="宋体"/>
      <w:b/>
      <w:sz w:val="24"/>
      <w:lang w:val="en-US" w:eastAsia="zh-CN"/>
    </w:rPr>
  </w:style>
  <w:style w:type="character" w:customStyle="1" w:styleId="123">
    <w:name w:val="111"/>
    <w:qFormat/>
    <w:uiPriority w:val="99"/>
  </w:style>
  <w:style w:type="character" w:customStyle="1" w:styleId="124">
    <w:name w:val="style31"/>
    <w:qFormat/>
    <w:uiPriority w:val="99"/>
    <w:rPr>
      <w:sz w:val="10"/>
    </w:rPr>
  </w:style>
  <w:style w:type="character" w:customStyle="1" w:styleId="125">
    <w:name w:val="普通文字 Char Char1"/>
    <w:qFormat/>
    <w:uiPriority w:val="99"/>
    <w:rPr>
      <w:rFonts w:ascii="宋体" w:eastAsia="宋体"/>
      <w:kern w:val="2"/>
      <w:sz w:val="28"/>
      <w:lang w:val="en-US" w:eastAsia="zh-CN"/>
    </w:rPr>
  </w:style>
  <w:style w:type="character" w:customStyle="1" w:styleId="126">
    <w:name w:val="Char Char21"/>
    <w:qFormat/>
    <w:uiPriority w:val="99"/>
    <w:rPr>
      <w:rFonts w:eastAsia="宋体"/>
      <w:b/>
      <w:kern w:val="44"/>
      <w:sz w:val="44"/>
      <w:lang w:val="en-US" w:eastAsia="zh-CN"/>
    </w:rPr>
  </w:style>
  <w:style w:type="character" w:customStyle="1" w:styleId="127">
    <w:name w:val="color_red1"/>
    <w:qFormat/>
    <w:uiPriority w:val="99"/>
    <w:rPr>
      <w:color w:val="FA0004"/>
    </w:rPr>
  </w:style>
  <w:style w:type="character" w:customStyle="1" w:styleId="128">
    <w:name w:val="main_tdbg_7601"/>
    <w:qFormat/>
    <w:uiPriority w:val="99"/>
    <w:rPr>
      <w:sz w:val="14"/>
    </w:rPr>
  </w:style>
  <w:style w:type="character" w:customStyle="1" w:styleId="129">
    <w:name w:val="编号  ww Char"/>
    <w:qFormat/>
    <w:uiPriority w:val="99"/>
    <w:rPr>
      <w:rFonts w:ascii="仿宋_GB2312" w:eastAsia="仿宋_GB2312"/>
      <w:b/>
      <w:sz w:val="28"/>
      <w:lang w:val="en-US" w:eastAsia="zh-CN"/>
    </w:rPr>
  </w:style>
  <w:style w:type="character" w:customStyle="1" w:styleId="130">
    <w:name w:val="标题 2 Char Char Char1"/>
    <w:qFormat/>
    <w:uiPriority w:val="99"/>
    <w:rPr>
      <w:rFonts w:ascii="仿宋_GB2312" w:eastAsia="仿宋_GB2312"/>
      <w:b/>
      <w:spacing w:val="1"/>
      <w:w w:val="99"/>
      <w:sz w:val="32"/>
      <w:lang w:val="en-US" w:eastAsia="zh-CN"/>
    </w:rPr>
  </w:style>
  <w:style w:type="character" w:customStyle="1" w:styleId="131">
    <w:name w:val="Char Char14"/>
    <w:qFormat/>
    <w:uiPriority w:val="99"/>
    <w:rPr>
      <w:rFonts w:eastAsia="宋体"/>
      <w:kern w:val="2"/>
      <w:sz w:val="24"/>
      <w:lang w:val="en-US" w:eastAsia="zh-CN"/>
    </w:rPr>
  </w:style>
  <w:style w:type="character" w:customStyle="1" w:styleId="132">
    <w:name w:val="样式 正文文本缩进 + (中文) 仿宋_GB2312 左侧:  0 厘米 行距: 1.5 倍行距 首行缩进:  2 字符 Char Char"/>
    <w:link w:val="133"/>
    <w:qFormat/>
    <w:locked/>
    <w:uiPriority w:val="99"/>
    <w:rPr>
      <w:rFonts w:ascii="仿宋_GB2312" w:eastAsia="仿宋_GB2312"/>
      <w:kern w:val="2"/>
      <w:sz w:val="28"/>
    </w:rPr>
  </w:style>
  <w:style w:type="paragraph" w:customStyle="1" w:styleId="133">
    <w:name w:val="样式 正文文本缩进 + (中文) 仿宋_GB2312 左侧:  0 厘米 行距: 1.5 倍行距 首行缩进:  2 字符"/>
    <w:basedOn w:val="20"/>
    <w:link w:val="132"/>
    <w:qFormat/>
    <w:uiPriority w:val="99"/>
    <w:pPr>
      <w:spacing w:line="360" w:lineRule="auto"/>
      <w:ind w:firstLine="200" w:firstLineChars="200"/>
    </w:pPr>
    <w:rPr>
      <w:rFonts w:ascii="仿宋_GB2312" w:eastAsia="仿宋_GB2312"/>
    </w:rPr>
  </w:style>
  <w:style w:type="character" w:customStyle="1" w:styleId="134">
    <w:name w:val="intel3"/>
    <w:qFormat/>
    <w:uiPriority w:val="99"/>
  </w:style>
  <w:style w:type="character" w:customStyle="1" w:styleId="135">
    <w:name w:val="font21"/>
    <w:qFormat/>
    <w:uiPriority w:val="99"/>
    <w:rPr>
      <w:rFonts w:ascii="smartSimSun" w:hAnsi="smartSimSun" w:eastAsia="smartSimSun"/>
      <w:color w:val="000000"/>
      <w:sz w:val="18"/>
      <w:u w:val="none"/>
    </w:rPr>
  </w:style>
  <w:style w:type="character" w:customStyle="1" w:styleId="136">
    <w:name w:val="表中文字 Char Char"/>
    <w:qFormat/>
    <w:uiPriority w:val="99"/>
    <w:rPr>
      <w:rFonts w:ascii="黑体" w:eastAsia="黑体"/>
      <w:color w:val="000000"/>
      <w:kern w:val="2"/>
      <w:sz w:val="32"/>
      <w:lang w:val="en-US" w:eastAsia="zh-CN"/>
    </w:rPr>
  </w:style>
  <w:style w:type="character" w:customStyle="1" w:styleId="137">
    <w:name w:val="ask-title"/>
    <w:basedOn w:val="55"/>
    <w:qFormat/>
    <w:uiPriority w:val="99"/>
    <w:rPr>
      <w:rFonts w:cs="Times New Roman"/>
    </w:rPr>
  </w:style>
  <w:style w:type="character" w:customStyle="1" w:styleId="138">
    <w:name w:val="style161"/>
    <w:qFormat/>
    <w:uiPriority w:val="99"/>
    <w:rPr>
      <w:b/>
      <w:color w:val="333333"/>
    </w:rPr>
  </w:style>
  <w:style w:type="character" w:customStyle="1" w:styleId="139">
    <w:name w:val="font01"/>
    <w:qFormat/>
    <w:uiPriority w:val="99"/>
    <w:rPr>
      <w:rFonts w:ascii="宋体" w:eastAsia="宋体"/>
      <w:color w:val="000000"/>
      <w:sz w:val="18"/>
      <w:u w:val="none"/>
    </w:rPr>
  </w:style>
  <w:style w:type="character" w:customStyle="1" w:styleId="140">
    <w:name w:val="批注主题 Char"/>
    <w:qFormat/>
    <w:uiPriority w:val="99"/>
    <w:rPr>
      <w:rFonts w:ascii="宋体" w:eastAsia="宋体"/>
      <w:kern w:val="2"/>
      <w:sz w:val="28"/>
      <w:lang w:val="en-US" w:eastAsia="zh-CN"/>
    </w:rPr>
  </w:style>
  <w:style w:type="character" w:customStyle="1" w:styleId="141">
    <w:name w:val="Char Char19"/>
    <w:qFormat/>
    <w:uiPriority w:val="99"/>
    <w:rPr>
      <w:rFonts w:eastAsia="宋体"/>
      <w:b/>
      <w:kern w:val="2"/>
      <w:sz w:val="32"/>
      <w:lang w:val="en-US" w:eastAsia="zh-CN"/>
    </w:rPr>
  </w:style>
  <w:style w:type="character" w:customStyle="1" w:styleId="142">
    <w:name w:val="unnamed1"/>
    <w:qFormat/>
    <w:uiPriority w:val="99"/>
  </w:style>
  <w:style w:type="paragraph" w:customStyle="1" w:styleId="143">
    <w:name w:val="g3"/>
    <w:basedOn w:val="1"/>
    <w:qFormat/>
    <w:uiPriority w:val="99"/>
    <w:pPr>
      <w:widowControl/>
      <w:spacing w:before="100" w:beforeAutospacing="1" w:after="100" w:afterAutospacing="1"/>
      <w:jc w:val="left"/>
    </w:pPr>
    <w:rPr>
      <w:rFonts w:ascii="宋体" w:cs="宋体"/>
      <w:kern w:val="0"/>
      <w:sz w:val="24"/>
      <w:szCs w:val="24"/>
    </w:rPr>
  </w:style>
  <w:style w:type="paragraph" w:customStyle="1" w:styleId="144">
    <w:name w:val="rr"/>
    <w:basedOn w:val="1"/>
    <w:qFormat/>
    <w:uiPriority w:val="99"/>
    <w:pPr>
      <w:widowControl/>
      <w:spacing w:before="100" w:beforeAutospacing="1" w:after="100" w:afterAutospacing="1"/>
      <w:jc w:val="left"/>
    </w:pPr>
    <w:rPr>
      <w:rFonts w:ascii="宋体"/>
      <w:kern w:val="0"/>
      <w:szCs w:val="21"/>
    </w:rPr>
  </w:style>
  <w:style w:type="paragraph" w:customStyle="1" w:styleId="145">
    <w:name w:val="表格"/>
    <w:basedOn w:val="1"/>
    <w:qFormat/>
    <w:uiPriority w:val="99"/>
    <w:pPr>
      <w:jc w:val="center"/>
      <w:textAlignment w:val="center"/>
    </w:pPr>
    <w:rPr>
      <w:rFonts w:ascii="华文细黑" w:hAnsi="华文细黑"/>
      <w:kern w:val="0"/>
    </w:rPr>
  </w:style>
  <w:style w:type="paragraph" w:customStyle="1" w:styleId="146">
    <w:name w:val="WW-表格标题"/>
    <w:basedOn w:val="147"/>
    <w:qFormat/>
    <w:uiPriority w:val="99"/>
  </w:style>
  <w:style w:type="paragraph" w:customStyle="1" w:styleId="147">
    <w:name w:val="WW-表格内容"/>
    <w:basedOn w:val="1"/>
    <w:qFormat/>
    <w:uiPriority w:val="99"/>
    <w:pPr>
      <w:suppressLineNumbers/>
      <w:suppressAutoHyphens/>
    </w:pPr>
    <w:rPr>
      <w:szCs w:val="24"/>
    </w:rPr>
  </w:style>
  <w:style w:type="paragraph" w:customStyle="1" w:styleId="148">
    <w:name w:val="Char1"/>
    <w:basedOn w:val="1"/>
    <w:qFormat/>
    <w:uiPriority w:val="99"/>
    <w:rPr>
      <w:szCs w:val="24"/>
    </w:rPr>
  </w:style>
  <w:style w:type="paragraph" w:customStyle="1" w:styleId="149">
    <w:name w:val="BT3"/>
    <w:basedOn w:val="6"/>
    <w:qFormat/>
    <w:uiPriority w:val="99"/>
    <w:pPr>
      <w:adjustRightInd w:val="0"/>
      <w:snapToGrid w:val="0"/>
      <w:spacing w:line="440" w:lineRule="exact"/>
      <w:ind w:firstLine="196" w:firstLineChars="196"/>
    </w:pPr>
    <w:rPr>
      <w:rFonts w:ascii="仿宋_GB2312" w:eastAsia="仿宋_GB2312"/>
      <w:b w:val="0"/>
      <w:sz w:val="24"/>
    </w:rPr>
  </w:style>
  <w:style w:type="paragraph" w:customStyle="1" w:styleId="150">
    <w:name w:val="附件标题-1"/>
    <w:basedOn w:val="1"/>
    <w:qFormat/>
    <w:uiPriority w:val="99"/>
    <w:pPr>
      <w:spacing w:before="50" w:after="50"/>
      <w:jc w:val="center"/>
    </w:pPr>
    <w:rPr>
      <w:rFonts w:eastAsia="黑体"/>
      <w:sz w:val="32"/>
    </w:rPr>
  </w:style>
  <w:style w:type="paragraph" w:customStyle="1" w:styleId="151">
    <w:name w:val="BT4"/>
    <w:basedOn w:val="7"/>
    <w:qFormat/>
    <w:uiPriority w:val="99"/>
    <w:pPr>
      <w:adjustRightInd w:val="0"/>
      <w:snapToGrid w:val="0"/>
      <w:spacing w:line="300" w:lineRule="auto"/>
      <w:ind w:left="267" w:leftChars="267"/>
    </w:pPr>
    <w:rPr>
      <w:rFonts w:ascii="仿宋_GB2312" w:eastAsia="仿宋_GB2312"/>
      <w:b w:val="0"/>
    </w:rPr>
  </w:style>
  <w:style w:type="paragraph" w:customStyle="1" w:styleId="152">
    <w:name w:val="样式 标题 1 + 黑体 三号 非加粗 居中 段前: 6 磅 段后: 6 磅 行距: 固定值 20 磅"/>
    <w:basedOn w:val="4"/>
    <w:qFormat/>
    <w:uiPriority w:val="99"/>
    <w:pPr>
      <w:spacing w:before="120" w:after="120" w:line="400" w:lineRule="exact"/>
      <w:jc w:val="center"/>
    </w:pPr>
    <w:rPr>
      <w:rFonts w:ascii="黑体" w:eastAsia="黑体" w:cs="宋体"/>
      <w:b w:val="0"/>
      <w:sz w:val="32"/>
    </w:rPr>
  </w:style>
  <w:style w:type="paragraph" w:customStyle="1" w:styleId="153">
    <w:name w:val="bt2"/>
    <w:basedOn w:val="5"/>
    <w:qFormat/>
    <w:uiPriority w:val="99"/>
    <w:pPr>
      <w:spacing w:before="0" w:line="360" w:lineRule="auto"/>
      <w:jc w:val="center"/>
      <w:outlineLvl w:val="0"/>
    </w:pPr>
    <w:rPr>
      <w:rFonts w:ascii="仿宋_GB2312" w:eastAsia="仿宋_GB2312"/>
      <w:sz w:val="24"/>
    </w:rPr>
  </w:style>
  <w:style w:type="paragraph" w:customStyle="1" w:styleId="154">
    <w:name w:val="TOC 标题1"/>
    <w:basedOn w:val="4"/>
    <w:next w:val="1"/>
    <w:qFormat/>
    <w:uiPriority w:val="99"/>
    <w:pPr>
      <w:widowControl/>
      <w:spacing w:before="480" w:after="0" w:line="276" w:lineRule="auto"/>
      <w:jc w:val="left"/>
      <w:outlineLvl w:val="9"/>
    </w:pPr>
    <w:rPr>
      <w:rFonts w:ascii="Cambria" w:hAnsi="Cambria"/>
      <w:bCs/>
      <w:color w:val="365F91"/>
      <w:kern w:val="0"/>
      <w:sz w:val="28"/>
      <w:szCs w:val="28"/>
    </w:rPr>
  </w:style>
  <w:style w:type="paragraph" w:customStyle="1" w:styleId="155">
    <w:name w:val="招标节"/>
    <w:basedOn w:val="1"/>
    <w:next w:val="1"/>
    <w:qFormat/>
    <w:uiPriority w:val="99"/>
    <w:pPr>
      <w:spacing w:beforeLines="50" w:afterLines="50"/>
      <w:outlineLvl w:val="1"/>
    </w:pPr>
    <w:rPr>
      <w:b/>
      <w:sz w:val="24"/>
      <w:szCs w:val="24"/>
    </w:rPr>
  </w:style>
  <w:style w:type="paragraph" w:customStyle="1" w:styleId="156">
    <w:name w:val="g11"/>
    <w:basedOn w:val="1"/>
    <w:qFormat/>
    <w:uiPriority w:val="99"/>
    <w:pPr>
      <w:widowControl/>
      <w:spacing w:before="100" w:beforeAutospacing="1" w:after="100" w:afterAutospacing="1" w:line="465" w:lineRule="atLeast"/>
      <w:jc w:val="left"/>
    </w:pPr>
    <w:rPr>
      <w:rFonts w:ascii="华文中宋" w:eastAsia="华文中宋" w:cs="宋体"/>
      <w:b/>
      <w:bCs/>
      <w:color w:val="FF0000"/>
      <w:kern w:val="0"/>
      <w:sz w:val="31"/>
      <w:szCs w:val="31"/>
    </w:rPr>
  </w:style>
  <w:style w:type="paragraph" w:customStyle="1" w:styleId="157">
    <w:name w:val="style12"/>
    <w:basedOn w:val="1"/>
    <w:qFormat/>
    <w:uiPriority w:val="99"/>
    <w:pPr>
      <w:widowControl/>
      <w:spacing w:before="100" w:beforeAutospacing="1" w:after="100" w:afterAutospacing="1"/>
      <w:jc w:val="left"/>
    </w:pPr>
    <w:rPr>
      <w:rFonts w:ascii="宋体" w:cs="宋体"/>
      <w:kern w:val="0"/>
      <w:sz w:val="18"/>
      <w:szCs w:val="18"/>
    </w:rPr>
  </w:style>
  <w:style w:type="paragraph" w:customStyle="1" w:styleId="158">
    <w:name w:val="3 Char Char Char Char Char Char Char Char Char3 Char Char Char Char Char Char Char Char Char Char"/>
    <w:basedOn w:val="1"/>
    <w:qFormat/>
    <w:uiPriority w:val="99"/>
    <w:pPr>
      <w:snapToGrid w:val="0"/>
      <w:spacing w:line="360" w:lineRule="auto"/>
      <w:ind w:firstLine="200" w:firstLineChars="200"/>
    </w:pPr>
    <w:rPr>
      <w:rFonts w:eastAsia="仿宋_GB2312"/>
      <w:sz w:val="24"/>
      <w:szCs w:val="24"/>
    </w:rPr>
  </w:style>
  <w:style w:type="paragraph" w:customStyle="1" w:styleId="159">
    <w:name w:val="pa-34"/>
    <w:basedOn w:val="1"/>
    <w:qFormat/>
    <w:uiPriority w:val="99"/>
    <w:pPr>
      <w:widowControl/>
      <w:spacing w:line="360" w:lineRule="atLeast"/>
      <w:ind w:firstLine="420"/>
      <w:jc w:val="left"/>
    </w:pPr>
    <w:rPr>
      <w:rFonts w:ascii="宋体" w:cs="宋体"/>
      <w:kern w:val="0"/>
      <w:sz w:val="24"/>
      <w:szCs w:val="24"/>
    </w:rPr>
  </w:style>
  <w:style w:type="paragraph" w:customStyle="1" w:styleId="160">
    <w:name w:val="Char Char1 Char 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61">
    <w:name w:val="Char Char Char Char Char Char Char Char Char Char Char Char Char"/>
    <w:basedOn w:val="1"/>
    <w:qFormat/>
    <w:uiPriority w:val="99"/>
    <w:rPr>
      <w:rFonts w:ascii="仿宋_GB2312" w:eastAsia="仿宋_GB2312"/>
      <w:b/>
      <w:sz w:val="32"/>
      <w:szCs w:val="32"/>
    </w:rPr>
  </w:style>
  <w:style w:type="paragraph" w:customStyle="1" w:styleId="162">
    <w:name w:val="Char Char Char"/>
    <w:basedOn w:val="1"/>
    <w:qFormat/>
    <w:uiPriority w:val="99"/>
  </w:style>
  <w:style w:type="paragraph" w:customStyle="1" w:styleId="163">
    <w:name w:val="xl27"/>
    <w:basedOn w:val="1"/>
    <w:qFormat/>
    <w:uiPriority w:val="99"/>
    <w:pPr>
      <w:widowControl/>
      <w:spacing w:before="100" w:beforeAutospacing="1" w:after="100" w:afterAutospacing="1"/>
      <w:jc w:val="center"/>
      <w:textAlignment w:val="center"/>
    </w:pPr>
    <w:rPr>
      <w:rFonts w:ascii="宋体"/>
      <w:kern w:val="0"/>
      <w:sz w:val="28"/>
      <w:szCs w:val="28"/>
    </w:rPr>
  </w:style>
  <w:style w:type="paragraph" w:customStyle="1" w:styleId="164">
    <w:name w:val="默认段落字体 Para Char Char Char Char"/>
    <w:basedOn w:val="1"/>
    <w:qFormat/>
    <w:uiPriority w:val="99"/>
    <w:rPr>
      <w:szCs w:val="24"/>
    </w:rPr>
  </w:style>
  <w:style w:type="paragraph" w:customStyle="1" w:styleId="165">
    <w:name w:val="正文0"/>
    <w:basedOn w:val="1"/>
    <w:qFormat/>
    <w:uiPriority w:val="99"/>
    <w:pPr>
      <w:adjustRightInd w:val="0"/>
      <w:spacing w:line="360" w:lineRule="auto"/>
      <w:ind w:firstLine="482"/>
      <w:textAlignment w:val="baseline"/>
    </w:pPr>
    <w:rPr>
      <w:kern w:val="24"/>
      <w:sz w:val="24"/>
    </w:rPr>
  </w:style>
  <w:style w:type="paragraph" w:customStyle="1" w:styleId="166">
    <w:name w:val="样式"/>
    <w:qFormat/>
    <w:uiPriority w:val="99"/>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167">
    <w:name w:val="简单回函地址"/>
    <w:basedOn w:val="1"/>
    <w:qFormat/>
    <w:uiPriority w:val="99"/>
  </w:style>
  <w:style w:type="paragraph" w:customStyle="1" w:styleId="168">
    <w:name w:val="表格文字居中"/>
    <w:basedOn w:val="1"/>
    <w:next w:val="1"/>
    <w:qFormat/>
    <w:uiPriority w:val="99"/>
    <w:pPr>
      <w:tabs>
        <w:tab w:val="left" w:pos="720"/>
        <w:tab w:val="left" w:pos="900"/>
      </w:tabs>
      <w:adjustRightInd w:val="0"/>
      <w:snapToGrid w:val="0"/>
      <w:spacing w:beforeLines="20" w:afterLines="20" w:line="360" w:lineRule="auto"/>
      <w:jc w:val="center"/>
    </w:pPr>
    <w:rPr>
      <w:rFonts w:ascii="宋体"/>
      <w:kern w:val="0"/>
      <w:sz w:val="18"/>
    </w:rPr>
  </w:style>
  <w:style w:type="paragraph" w:customStyle="1" w:styleId="169">
    <w:name w:val="默认段落字体 Para Char Char Char Char Char Char Char Char Char Char Char Char Char"/>
    <w:basedOn w:val="1"/>
    <w:qFormat/>
    <w:uiPriority w:val="99"/>
  </w:style>
  <w:style w:type="paragraph" w:customStyle="1" w:styleId="170">
    <w:name w:val="Char Char Char1"/>
    <w:basedOn w:val="17"/>
    <w:next w:val="6"/>
    <w:qFormat/>
    <w:uiPriority w:val="99"/>
    <w:pPr>
      <w:adjustRightInd w:val="0"/>
      <w:spacing w:line="600" w:lineRule="exact"/>
      <w:jc w:val="center"/>
      <w:outlineLvl w:val="2"/>
    </w:pPr>
  </w:style>
  <w:style w:type="paragraph" w:customStyle="1" w:styleId="171">
    <w:name w:val="Char"/>
    <w:basedOn w:val="1"/>
    <w:qFormat/>
    <w:uiPriority w:val="99"/>
  </w:style>
  <w:style w:type="paragraph" w:customStyle="1" w:styleId="172">
    <w:name w:val="样式 标题 3 + (中文) 黑体 小四 非加粗 段前: 7.8 磅 段后: 0 磅 行距: 固定值 20 磅"/>
    <w:basedOn w:val="6"/>
    <w:qFormat/>
    <w:uiPriority w:val="99"/>
    <w:pPr>
      <w:spacing w:before="0" w:after="0" w:line="400" w:lineRule="exact"/>
    </w:pPr>
    <w:rPr>
      <w:rFonts w:eastAsia="黑体" w:cs="宋体"/>
      <w:b w:val="0"/>
      <w:sz w:val="24"/>
    </w:rPr>
  </w:style>
  <w:style w:type="paragraph" w:customStyle="1" w:styleId="173">
    <w:name w:val="Char Char Char1 Char"/>
    <w:basedOn w:val="1"/>
    <w:qFormat/>
    <w:uiPriority w:val="99"/>
  </w:style>
  <w:style w:type="paragraph" w:customStyle="1" w:styleId="174">
    <w:name w:val="表格文字"/>
    <w:basedOn w:val="1"/>
    <w:qFormat/>
    <w:uiPriority w:val="99"/>
    <w:pPr>
      <w:adjustRightInd w:val="0"/>
      <w:spacing w:line="420" w:lineRule="atLeast"/>
      <w:jc w:val="left"/>
      <w:textAlignment w:val="baseline"/>
    </w:pPr>
    <w:rPr>
      <w:kern w:val="0"/>
    </w:rPr>
  </w:style>
  <w:style w:type="paragraph" w:customStyle="1" w:styleId="175">
    <w:name w:val="l-2"/>
    <w:basedOn w:val="1"/>
    <w:qFormat/>
    <w:uiPriority w:val="99"/>
    <w:pPr>
      <w:widowControl/>
      <w:spacing w:before="100" w:beforeAutospacing="1" w:after="100" w:afterAutospacing="1"/>
      <w:jc w:val="left"/>
    </w:pPr>
    <w:rPr>
      <w:rFonts w:ascii="宋体" w:cs="宋体"/>
      <w:b/>
      <w:bCs/>
      <w:color w:val="000000"/>
      <w:kern w:val="0"/>
      <w:sz w:val="13"/>
      <w:szCs w:val="13"/>
    </w:rPr>
  </w:style>
  <w:style w:type="paragraph" w:customStyle="1" w:styleId="176">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177">
    <w:name w:val="样式 (中文) 仿宋_GB2312 行距: 固定值 22 磅"/>
    <w:basedOn w:val="1"/>
    <w:qFormat/>
    <w:uiPriority w:val="99"/>
    <w:pPr>
      <w:spacing w:line="440" w:lineRule="exact"/>
      <w:ind w:firstLine="150" w:firstLineChars="150"/>
    </w:pPr>
    <w:rPr>
      <w:rFonts w:eastAsia="仿宋_GB2312"/>
      <w:sz w:val="24"/>
    </w:rPr>
  </w:style>
  <w:style w:type="paragraph" w:customStyle="1" w:styleId="178">
    <w:name w:val="Char21"/>
    <w:basedOn w:val="1"/>
    <w:qFormat/>
    <w:uiPriority w:val="99"/>
    <w:rPr>
      <w:rFonts w:ascii="Tahoma" w:hAnsi="Tahoma"/>
      <w:sz w:val="24"/>
    </w:rPr>
  </w:style>
  <w:style w:type="paragraph" w:customStyle="1" w:styleId="179">
    <w:name w:val="Char Char1 Char Char Char Char Char Char Char"/>
    <w:basedOn w:val="1"/>
    <w:qFormat/>
    <w:uiPriority w:val="99"/>
    <w:pPr>
      <w:pageBreakBefore/>
    </w:pPr>
    <w:rPr>
      <w:rFonts w:ascii="宋体" w:hAnsi="宋体" w:eastAsia="仿宋_GB2312" w:cs="宋体"/>
      <w:sz w:val="28"/>
      <w:szCs w:val="28"/>
    </w:rPr>
  </w:style>
  <w:style w:type="paragraph" w:customStyle="1" w:styleId="180">
    <w:name w:val="列出段落1"/>
    <w:basedOn w:val="1"/>
    <w:qFormat/>
    <w:uiPriority w:val="99"/>
    <w:pPr>
      <w:ind w:firstLine="200" w:firstLineChars="200"/>
    </w:pPr>
    <w:rPr>
      <w:sz w:val="28"/>
      <w:szCs w:val="28"/>
    </w:rPr>
  </w:style>
  <w:style w:type="paragraph" w:customStyle="1" w:styleId="181">
    <w:name w:val="样式3"/>
    <w:basedOn w:val="177"/>
    <w:qFormat/>
    <w:uiPriority w:val="99"/>
    <w:pPr>
      <w:snapToGrid w:val="0"/>
      <w:spacing w:line="304" w:lineRule="auto"/>
      <w:ind w:firstLine="225" w:firstLineChars="225"/>
    </w:pPr>
    <w:rPr>
      <w:rFonts w:ascii="仿宋_GB2312"/>
      <w:color w:val="FF0000"/>
      <w:u w:val="single"/>
    </w:rPr>
  </w:style>
  <w:style w:type="paragraph" w:customStyle="1" w:styleId="182">
    <w:name w:val="Char2"/>
    <w:basedOn w:val="1"/>
    <w:qFormat/>
    <w:uiPriority w:val="99"/>
    <w:pPr>
      <w:ind w:firstLine="1400" w:firstLineChars="1400"/>
    </w:pPr>
    <w:rPr>
      <w:rFonts w:ascii="Tahoma" w:hAnsi="Tahoma"/>
      <w:sz w:val="28"/>
      <w:szCs w:val="28"/>
    </w:rPr>
  </w:style>
  <w:style w:type="paragraph" w:customStyle="1" w:styleId="183">
    <w:name w:val="表格标题"/>
    <w:basedOn w:val="184"/>
    <w:qFormat/>
    <w:uiPriority w:val="99"/>
  </w:style>
  <w:style w:type="paragraph" w:customStyle="1" w:styleId="184">
    <w:name w:val="表格内容"/>
    <w:basedOn w:val="1"/>
    <w:qFormat/>
    <w:uiPriority w:val="99"/>
    <w:pPr>
      <w:suppressLineNumbers/>
      <w:suppressAutoHyphens/>
    </w:pPr>
    <w:rPr>
      <w:szCs w:val="24"/>
    </w:rPr>
  </w:style>
  <w:style w:type="paragraph" w:customStyle="1" w:styleId="185">
    <w:name w:val="标题1"/>
    <w:basedOn w:val="1"/>
    <w:qFormat/>
    <w:uiPriority w:val="99"/>
    <w:pPr>
      <w:widowControl/>
      <w:spacing w:before="100" w:beforeAutospacing="1" w:after="100" w:afterAutospacing="1"/>
      <w:jc w:val="left"/>
    </w:pPr>
    <w:rPr>
      <w:rFonts w:ascii="宋体" w:cs="宋体"/>
      <w:kern w:val="0"/>
      <w:sz w:val="24"/>
      <w:szCs w:val="24"/>
    </w:rPr>
  </w:style>
  <w:style w:type="paragraph" w:customStyle="1" w:styleId="186">
    <w:name w:val="样式1"/>
    <w:basedOn w:val="1"/>
    <w:qFormat/>
    <w:uiPriority w:val="99"/>
    <w:pPr>
      <w:spacing w:before="120" w:after="120" w:line="300" w:lineRule="auto"/>
    </w:pPr>
    <w:rPr>
      <w:rFonts w:ascii="宋体"/>
      <w:b/>
      <w:sz w:val="24"/>
    </w:rPr>
  </w:style>
  <w:style w:type="paragraph" w:customStyle="1" w:styleId="187">
    <w:name w:val="自定样式1"/>
    <w:basedOn w:val="1"/>
    <w:qFormat/>
    <w:uiPriority w:val="99"/>
    <w:pPr>
      <w:suppressAutoHyphens/>
      <w:jc w:val="center"/>
    </w:pPr>
    <w:rPr>
      <w:rFonts w:ascii="宋体"/>
      <w:color w:val="000000"/>
      <w:sz w:val="18"/>
      <w:szCs w:val="24"/>
    </w:rPr>
  </w:style>
  <w:style w:type="paragraph" w:customStyle="1" w:styleId="188">
    <w:name w:val="Char Char Char Char Char Char Char Char Char Char"/>
    <w:basedOn w:val="1"/>
    <w:qFormat/>
    <w:uiPriority w:val="99"/>
    <w:pPr>
      <w:snapToGrid w:val="0"/>
      <w:spacing w:line="360" w:lineRule="auto"/>
      <w:ind w:firstLine="200" w:firstLineChars="200"/>
    </w:pPr>
    <w:rPr>
      <w:szCs w:val="24"/>
    </w:rPr>
  </w:style>
  <w:style w:type="paragraph" w:customStyle="1" w:styleId="189">
    <w:name w:val="Char11"/>
    <w:basedOn w:val="1"/>
    <w:qFormat/>
    <w:uiPriority w:val="99"/>
    <w:rPr>
      <w:rFonts w:ascii="Tahoma" w:hAnsi="Tahoma"/>
      <w:sz w:val="24"/>
    </w:rPr>
  </w:style>
  <w:style w:type="paragraph" w:customStyle="1" w:styleId="190">
    <w:name w:val="1"/>
    <w:basedOn w:val="1"/>
    <w:qFormat/>
    <w:uiPriority w:val="99"/>
    <w:pPr>
      <w:widowControl/>
      <w:spacing w:before="100" w:beforeAutospacing="1" w:after="100" w:afterAutospacing="1"/>
      <w:jc w:val="left"/>
    </w:pPr>
    <w:rPr>
      <w:rFonts w:ascii="??" w:hAnsi="??" w:cs="宋体"/>
      <w:kern w:val="0"/>
      <w:sz w:val="24"/>
      <w:szCs w:val="24"/>
    </w:rPr>
  </w:style>
  <w:style w:type="paragraph" w:customStyle="1" w:styleId="191">
    <w:name w:val="mtitle"/>
    <w:basedOn w:val="1"/>
    <w:qFormat/>
    <w:uiPriority w:val="99"/>
    <w:pPr>
      <w:widowControl/>
      <w:spacing w:before="30"/>
      <w:jc w:val="center"/>
    </w:pPr>
    <w:rPr>
      <w:rFonts w:ascii="方正小标宋简体" w:eastAsia="方正小标宋简体"/>
      <w:color w:val="000000"/>
      <w:kern w:val="0"/>
      <w:sz w:val="44"/>
      <w:szCs w:val="44"/>
    </w:rPr>
  </w:style>
  <w:style w:type="paragraph" w:customStyle="1" w:styleId="192">
    <w:name w:val="intel1"/>
    <w:basedOn w:val="1"/>
    <w:qFormat/>
    <w:uiPriority w:val="99"/>
    <w:pPr>
      <w:widowControl/>
      <w:spacing w:before="100" w:beforeAutospacing="1" w:after="100" w:afterAutospacing="1"/>
      <w:jc w:val="left"/>
    </w:pPr>
    <w:rPr>
      <w:rFonts w:ascii="宋体" w:cs="宋体"/>
      <w:kern w:val="0"/>
      <w:sz w:val="24"/>
      <w:szCs w:val="24"/>
    </w:rPr>
  </w:style>
  <w:style w:type="paragraph" w:customStyle="1" w:styleId="193">
    <w:name w:val="样式 标题 2 + Times New Roman 四号 非加粗 段前: 5 磅 段后: 0 磅 行距: 固定值 20..."/>
    <w:basedOn w:val="5"/>
    <w:qFormat/>
    <w:uiPriority w:val="99"/>
    <w:pPr>
      <w:adjustRightInd/>
      <w:spacing w:before="100" w:after="0" w:line="400" w:lineRule="exact"/>
    </w:pPr>
    <w:rPr>
      <w:rFonts w:ascii="Times New Roman" w:hAnsi="Times New Roman" w:cs="宋体"/>
      <w:b w:val="0"/>
      <w:kern w:val="2"/>
      <w:sz w:val="28"/>
    </w:rPr>
  </w:style>
  <w:style w:type="paragraph" w:customStyle="1" w:styleId="194">
    <w:name w:val="zw"/>
    <w:basedOn w:val="1"/>
    <w:qFormat/>
    <w:uiPriority w:val="99"/>
    <w:pPr>
      <w:widowControl/>
      <w:spacing w:before="30"/>
      <w:ind w:left="100" w:right="100"/>
    </w:pPr>
    <w:rPr>
      <w:rFonts w:ascii="方正书宋简体" w:eastAsia="方正书宋简体"/>
      <w:color w:val="000000"/>
      <w:kern w:val="0"/>
      <w:szCs w:val="21"/>
    </w:rPr>
  </w:style>
  <w:style w:type="paragraph" w:customStyle="1" w:styleId="195">
    <w:name w:val="rw"/>
    <w:basedOn w:val="1"/>
    <w:qFormat/>
    <w:uiPriority w:val="99"/>
    <w:pPr>
      <w:widowControl/>
      <w:spacing w:before="30"/>
      <w:ind w:left="100" w:right="100"/>
      <w:jc w:val="right"/>
    </w:pPr>
    <w:rPr>
      <w:rFonts w:ascii="方正仿宋简体" w:eastAsia="方正仿宋简体"/>
      <w:color w:val="000000"/>
      <w:kern w:val="0"/>
      <w:szCs w:val="21"/>
    </w:rPr>
  </w:style>
  <w:style w:type="paragraph" w:customStyle="1" w:styleId="196">
    <w:name w:val="ly"/>
    <w:basedOn w:val="1"/>
    <w:qFormat/>
    <w:uiPriority w:val="99"/>
    <w:pPr>
      <w:widowControl/>
      <w:spacing w:before="30"/>
      <w:jc w:val="right"/>
    </w:pPr>
    <w:rPr>
      <w:rFonts w:ascii="方正书宋简体" w:eastAsia="方正书宋简体"/>
      <w:color w:val="000000"/>
      <w:kern w:val="0"/>
      <w:szCs w:val="21"/>
    </w:rPr>
  </w:style>
  <w:style w:type="paragraph" w:customStyle="1" w:styleId="197">
    <w:name w:val="bt1"/>
    <w:basedOn w:val="4"/>
    <w:qFormat/>
    <w:uiPriority w:val="99"/>
    <w:pPr>
      <w:adjustRightInd w:val="0"/>
      <w:snapToGrid w:val="0"/>
      <w:spacing w:line="360" w:lineRule="auto"/>
      <w:jc w:val="center"/>
    </w:pPr>
    <w:rPr>
      <w:rFonts w:ascii="仿宋_GB2312" w:eastAsia="仿宋_GB2312"/>
      <w:spacing w:val="20"/>
    </w:rPr>
  </w:style>
  <w:style w:type="paragraph" w:customStyle="1" w:styleId="198">
    <w:name w:val="Char Char Char Char"/>
    <w:basedOn w:val="1"/>
    <w:qFormat/>
    <w:uiPriority w:val="99"/>
    <w:rPr>
      <w:szCs w:val="24"/>
    </w:rPr>
  </w:style>
  <w:style w:type="paragraph" w:customStyle="1" w:styleId="199">
    <w:name w:val="p0"/>
    <w:basedOn w:val="1"/>
    <w:qFormat/>
    <w:uiPriority w:val="99"/>
    <w:pPr>
      <w:widowControl/>
    </w:pPr>
    <w:rPr>
      <w:kern w:val="0"/>
      <w:szCs w:val="21"/>
    </w:rPr>
  </w:style>
  <w:style w:type="paragraph" w:customStyle="1" w:styleId="200">
    <w:name w:val="zz"/>
    <w:basedOn w:val="1"/>
    <w:qFormat/>
    <w:uiPriority w:val="99"/>
    <w:pPr>
      <w:widowControl/>
      <w:spacing w:before="30"/>
      <w:jc w:val="right"/>
    </w:pPr>
    <w:rPr>
      <w:rFonts w:ascii="方正书宋简体" w:eastAsia="方正书宋简体"/>
      <w:color w:val="000000"/>
      <w:kern w:val="0"/>
      <w:szCs w:val="21"/>
    </w:rPr>
  </w:style>
  <w:style w:type="paragraph" w:customStyle="1" w:styleId="201">
    <w:name w:val="g2"/>
    <w:basedOn w:val="1"/>
    <w:qFormat/>
    <w:uiPriority w:val="99"/>
    <w:pPr>
      <w:widowControl/>
      <w:spacing w:before="100" w:beforeAutospacing="1" w:after="100" w:afterAutospacing="1"/>
      <w:jc w:val="left"/>
    </w:pPr>
    <w:rPr>
      <w:rFonts w:ascii="仿宋_GB2312" w:eastAsia="仿宋_GB2312" w:cs="宋体"/>
      <w:kern w:val="0"/>
      <w:sz w:val="17"/>
      <w:szCs w:val="17"/>
    </w:rPr>
  </w:style>
  <w:style w:type="paragraph" w:customStyle="1" w:styleId="202">
    <w:name w:val="6'"/>
    <w:basedOn w:val="1"/>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203">
    <w:name w:val="pa-27"/>
    <w:basedOn w:val="1"/>
    <w:qFormat/>
    <w:uiPriority w:val="99"/>
    <w:pPr>
      <w:widowControl/>
      <w:spacing w:line="360" w:lineRule="atLeast"/>
      <w:ind w:firstLine="420"/>
    </w:pPr>
    <w:rPr>
      <w:rFonts w:ascii="宋体" w:cs="宋体"/>
      <w:kern w:val="0"/>
      <w:sz w:val="24"/>
      <w:szCs w:val="24"/>
    </w:rPr>
  </w:style>
  <w:style w:type="paragraph" w:customStyle="1" w:styleId="204">
    <w:name w:val="Char4 Char Char Char"/>
    <w:basedOn w:val="1"/>
    <w:semiHidden/>
    <w:qFormat/>
    <w:uiPriority w:val="99"/>
    <w:pPr>
      <w:adjustRightInd w:val="0"/>
      <w:snapToGrid w:val="0"/>
      <w:spacing w:line="360" w:lineRule="auto"/>
      <w:ind w:firstLine="200" w:firstLineChars="200"/>
    </w:pPr>
    <w:rPr>
      <w:rFonts w:ascii="宋体" w:hAnsi="宋体" w:cs="宋体"/>
      <w:sz w:val="24"/>
      <w:szCs w:val="26"/>
    </w:rPr>
  </w:style>
  <w:style w:type="paragraph" w:customStyle="1" w:styleId="205">
    <w:name w:val="无间隔1"/>
    <w:basedOn w:val="1"/>
    <w:qFormat/>
    <w:uiPriority w:val="1"/>
    <w:pPr>
      <w:spacing w:line="400" w:lineRule="exact"/>
    </w:pPr>
    <w:rPr>
      <w:sz w:val="24"/>
    </w:rPr>
  </w:style>
  <w:style w:type="paragraph" w:customStyle="1" w:styleId="206">
    <w:name w:val="列出段落11"/>
    <w:basedOn w:val="1"/>
    <w:qFormat/>
    <w:uiPriority w:val="0"/>
    <w:pPr>
      <w:ind w:firstLine="420" w:firstLineChars="200"/>
    </w:pPr>
    <w:rPr>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113</Pages>
  <Words>11656</Words>
  <Characters>66442</Characters>
  <Lines>553</Lines>
  <Paragraphs>155</Paragraphs>
  <TotalTime>4</TotalTime>
  <ScaleCrop>false</ScaleCrop>
  <LinksUpToDate>false</LinksUpToDate>
  <CharactersWithSpaces>77943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2021-02-26T01:56:00Z</dcterms:created>
  <dc:creator>Administrator</dc:creator>
  <cp:lastModifiedBy>云起时</cp:lastModifiedBy>
  <cp:lastPrinted>2018-06-11T09:13:00Z</cp:lastPrinted>
  <dcterms:modified xsi:type="dcterms:W3CDTF">2021-04-27T09:28:30Z</dcterms:modified>
  <dc:title>水口镇树天路建设工程项目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53A8690DE6B047E0A7639E599332D90A</vt:lpwstr>
  </property>
</Properties>
</file>